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X24efd1726282893bca84bb951f3cc766c96d8b8"/>
    <w:p>
      <w:pPr>
        <w:pStyle w:val="Heading1"/>
      </w:pPr>
      <w:r>
        <w:t xml:space="preserve">Federal Compliance Series — Volume VIII Books</w:t>
      </w:r>
    </w:p>
    <w:p>
      <w:pPr>
        <w:pStyle w:val="FirstParagraph"/>
      </w:pPr>
      <w:r>
        <w:t xml:space="preserve">DDI (DNS, DHCP, IPAM) automation.</w:t>
      </w:r>
    </w:p>
    <w:bookmarkStart w:id="9" w:name="book-00-ddi-automation-overview"/>
    <w:p>
      <w:pPr>
        <w:pStyle w:val="Heading2"/>
      </w:pPr>
      <w:r>
        <w:t xml:space="preserve">Book 00 — DDI Automation Overview</w:t>
      </w:r>
    </w:p>
    <w:p>
      <w:pPr>
        <w:pStyle w:val="FirstParagraph"/>
      </w:pPr>
      <w:r>
        <w:t xml:space="preserve">Overview of DNS, DHCP, and IP address management automation for compliance evidence. Covers resolution consistency, private endpoint DNS, and IPAM as a source of truth for network addressing.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2026-10-19T10:10:30Z</dcterms:created>
  <dcterms:modified xsi:type="dcterms:W3CDTF">2026-10-19T10:10:30Z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