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" w:name="federal-compliance-series-volume-x-books"/>
    <w:p>
      <w:pPr>
        <w:pStyle w:val="Heading1"/>
      </w:pPr>
      <w:r>
        <w:t xml:space="preserve">Federal Compliance Series — Volume X Books</w:t>
      </w:r>
    </w:p>
    <w:p>
      <w:pPr>
        <w:pStyle w:val="FirstParagraph"/>
      </w:pPr>
      <w:r>
        <w:t xml:space="preserve">Governance substrate integration.</w:t>
      </w:r>
    </w:p>
    <w:bookmarkStart w:id="9" w:name="X993fe1d07b37b344d02e560d9686f1253c6b2b0"/>
    <w:p>
      <w:pPr>
        <w:pStyle w:val="Heading2"/>
      </w:pPr>
      <w:r>
        <w:t xml:space="preserve">Book 00 — Governance Substrate Integration Overview</w:t>
      </w:r>
    </w:p>
    <w:p>
      <w:pPr>
        <w:pStyle w:val="FirstParagraph"/>
      </w:pPr>
      <w:r>
        <w:t xml:space="preserve">How the compliance series integrates with a broader governance substrate. Covers evidence contract, residual risk, and the boundary between compliance proof and operational governance.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2026-10-19T10:10:31Z</dcterms:created>
  <dcterms:modified xsi:type="dcterms:W3CDTF">2026-10-19T10:10:31Z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