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5" w:name="X8ff54f38e07e4d2c1ae4624254cb955b7c99de0"/>
    <w:p>
      <w:pPr>
        <w:pStyle w:val="Heading1"/>
      </w:pPr>
      <w:r>
        <w:t xml:space="preserve">Federal Compliance Series - Moderate — Executive Brief</w:t>
      </w:r>
    </w:p>
    <w:p>
      <w:pPr>
        <w:pStyle w:val="FirstParagraph"/>
      </w:pPr>
      <w:r>
        <w:rPr>
          <w:b/>
          <w:bCs/>
        </w:rPr>
        <w:t xml:space="preserve">Two-page decision brief for authorizing officials, program executives, and budget decision-makers</w:t>
      </w:r>
    </w:p>
    <w:bookmarkStart w:id="9" w:name="the-thesis"/>
    <w:p>
      <w:pPr>
        <w:pStyle w:val="Heading2"/>
      </w:pPr>
      <w:r>
        <w:t xml:space="preserve">The thesis</w:t>
      </w:r>
    </w:p>
    <w:p>
      <w:pPr>
        <w:pStyle w:val="FirstParagraph"/>
      </w:pPr>
      <w:r>
        <w:t xml:space="preserve">The agency’s federal compliance debt is not a resource shortage — it is an architectural pattern mismatch. The estate was built for a world where compute, identity, and communication sat inside a perimeter; the controls now required under Executive Order 14028, OMB M-22-09, TIC 3.0, and the FedRAMP 20x Consolidated Rules cannot be satisfied by a perimeter architecture at any budget. The implementations in this series are therefore structural prerequisites for an agency Moderate authorization whose evidence survives the FedRAMP 20x transition, not optional modernization projects. A small number of truth-plane mechanisms — authoritative naming and addressing, cryptographic identity, and a unified evidence contract — are load-bearing: everything else can be re-platformed; these can only be depended on.</w:t>
      </w:r>
    </w:p>
    <w:bookmarkEnd w:id="9"/>
    <w:bookmarkStart w:id="10" w:name="the-three-deadlines-that-bind"/>
    <w:p>
      <w:pPr>
        <w:pStyle w:val="Heading2"/>
      </w:pPr>
      <w:r>
        <w:t xml:space="preserve">The three deadlines that bind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7"/>
        <w:gridCol w:w="3261"/>
        <w:gridCol w:w="326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pStyle w:val="Compact"/>
            </w:pPr>
            <w:r>
              <w:t xml:space="preserve">Why it binds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Aug 31, 2026</w:t>
            </w:r>
          </w:p>
        </w:tc>
        <w:tc>
          <w:tcPr/>
          <w:p>
            <w:pPr>
              <w:pStyle w:val="Compact"/>
            </w:pPr>
            <w:r>
              <w:t xml:space="preserve">FedRAMP 20x Class B + C opens</w:t>
            </w:r>
          </w:p>
        </w:tc>
        <w:tc>
          <w:tcPr/>
          <w:p>
            <w:pPr>
              <w:pStyle w:val="Compact"/>
            </w:pPr>
            <w:r>
              <w:t xml:space="preserve">The pipeline inherited Moderate providers enter. The substrate must exist to structure inherited evidence cleanly.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 7, 2026</w:t>
            </w:r>
          </w:p>
        </w:tc>
        <w:tc>
          <w:tcPr/>
          <w:p>
            <w:pPr>
              <w:pStyle w:val="Compact"/>
            </w:pPr>
            <w:r>
              <w:t xml:space="preserve">BOD 26-04 VDR/VER in force</w:t>
            </w:r>
          </w:p>
        </w:tc>
        <w:tc>
          <w:tcPr/>
          <w:p>
            <w:pPr>
              <w:pStyle w:val="Compact"/>
            </w:pPr>
            <w:r>
              <w:t xml:space="preserve">Software bill of materials + vendor disclosure required; risk-based remediation timelines live.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Jan 1, 2027</w:t>
            </w:r>
          </w:p>
        </w:tc>
        <w:tc>
          <w:tcPr/>
          <w:p>
            <w:pPr>
              <w:pStyle w:val="Compact"/>
            </w:pPr>
            <w:r>
              <w:t xml:space="preserve">CR26 mandatory</w:t>
            </w:r>
          </w:p>
        </w:tc>
        <w:tc>
          <w:tcPr/>
          <w:p>
            <w:pPr>
              <w:pStyle w:val="Compact"/>
            </w:pPr>
            <w:r>
              <w:t xml:space="preserve">All continuous-monitoring evidence must be machine-readable Key Security Indicator format.</w:t>
            </w:r>
          </w:p>
        </w:tc>
      </w:tr>
    </w:tbl>
    <w:bookmarkEnd w:id="10"/>
    <w:bookmarkStart w:id="11" w:name="decisions-required"/>
    <w:p>
      <w:pPr>
        <w:pStyle w:val="Heading2"/>
      </w:pPr>
      <w:r>
        <w:t xml:space="preserve">Decisions required</w:t>
      </w:r>
    </w:p>
    <w:p>
      <w:pPr>
        <w:pStyle w:val="Compact"/>
        <w:numPr>
          <w:ilvl w:val="0"/>
          <w:numId w:val="1001"/>
        </w:numPr>
      </w:pPr>
      <w:r>
        <w:t xml:space="preserve">Endorse (or redirect) the architecture doctrine. Owner: Office of Information Security + CIO. By: before any procurement or build commitment.</w:t>
      </w:r>
    </w:p>
    <w:p>
      <w:pPr>
        <w:pStyle w:val="Compact"/>
        <w:numPr>
          <w:ilvl w:val="0"/>
          <w:numId w:val="1001"/>
        </w:numPr>
      </w:pPr>
      <w:r>
        <w:t xml:space="preserve">Accept the automation platform boundary treatment, or name a Moderate-authorized alternative. Owner: Authorizing Official / Information System Security Officer. By: before the automation volumes build.</w:t>
      </w:r>
    </w:p>
    <w:p>
      <w:pPr>
        <w:pStyle w:val="Compact"/>
        <w:numPr>
          <w:ilvl w:val="0"/>
          <w:numId w:val="1001"/>
        </w:numPr>
      </w:pPr>
      <w:r>
        <w:t xml:space="preserve">Fund the load-bearing substrate first — naming and addressing, then the transport overlay and boundary enforcement. Owner: CIO / budget. By: in time to structure evidence for the August 31, 2026 window.</w:t>
      </w:r>
    </w:p>
    <w:p>
      <w:pPr>
        <w:pStyle w:val="Compact"/>
        <w:numPr>
          <w:ilvl w:val="0"/>
          <w:numId w:val="1001"/>
        </w:numPr>
      </w:pPr>
      <w:r>
        <w:t xml:space="preserve">Direct the internal-rules to CR26 reconciliation and schedule the independent security control assessment. Owner: Office of Information Security continuous-monitoring lead. By: before independent assessment; no later than August 31, 2026.</w:t>
      </w:r>
    </w:p>
    <w:p>
      <w:pPr>
        <w:pStyle w:val="Compact"/>
        <w:numPr>
          <w:ilvl w:val="0"/>
          <w:numId w:val="1001"/>
        </w:numPr>
      </w:pPr>
      <w:r>
        <w:t xml:space="preserve">Decide the multi-cloud breadth. One volume spans multiple cloud providers — the one deliberate exception to the government-cloud / Microsoft scope. Owner: CIO. By: before committing that volume beyond the primary cloud.</w:t>
      </w:r>
    </w:p>
    <w:bookmarkEnd w:id="11"/>
    <w:bookmarkStart w:id="12" w:name="cost-of-inaction"/>
    <w:p>
      <w:pPr>
        <w:pStyle w:val="Heading2"/>
      </w:pPr>
      <w:r>
        <w:t xml:space="preserve">Cost of inaction</w:t>
      </w:r>
    </w:p>
    <w:p>
      <w:pPr>
        <w:pStyle w:val="FirstParagraph"/>
      </w:pPr>
      <w:r>
        <w:t xml:space="preserve">If the substrate is not in place before the August 31, 2026 window and the January 1, 2027 mandate:</w:t>
      </w:r>
      <w:r>
        <w:t xml:space="preserve"> </w:t>
      </w:r>
      <w:r>
        <w:t xml:space="preserve">- Inherited authorizations stop reconciling. Without the naming, identity, and evidence planes, the agency cannot assemble a continuous, machine-readable Key Security Indicator package.</w:t>
      </w:r>
      <w:r>
        <w:t xml:space="preserve"> </w:t>
      </w:r>
      <w:r>
        <w:t xml:space="preserve">- The same findings recur every assessment cycle. Open component-inventory, DNSSEC, and transport-encryption findings become standing items that manual evidence assembly cannot clear under the new rules.</w:t>
      </w:r>
      <w:r>
        <w:t xml:space="preserve"> </w:t>
      </w:r>
      <w:r>
        <w:t xml:space="preserve">- Spend does not fix it. The perimeter architecture cannot satisfy the Zero Trust controls regardless of tooling budget — the mismatch is structural.</w:t>
      </w:r>
    </w:p>
    <w:bookmarkEnd w:id="12"/>
    <w:bookmarkStart w:id="13" w:name="reading-paths-by-role"/>
    <w:p>
      <w:pPr>
        <w:pStyle w:val="Heading2"/>
      </w:pPr>
      <w:r>
        <w:t xml:space="preserve">Reading paths by role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Authorizing Official / budget:</w:t>
      </w:r>
      <w:r>
        <w:t xml:space="preserve"> </w:t>
      </w:r>
      <w:r>
        <w:t xml:space="preserve">this brief, then the product inventory questionnaire and the residual compliance risk section.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Information System Security Officer / assessor:</w:t>
      </w:r>
      <w:r>
        <w:t xml:space="preserve"> </w:t>
      </w:r>
      <w:r>
        <w:t xml:space="preserve">the series control crosswalk and the claim-to-evidence-to-test matrix, then the authorization package and continuous-monitoring volume.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Engineer:</w:t>
      </w:r>
      <w:r>
        <w:t xml:space="preserve"> </w:t>
      </w:r>
      <w:r>
        <w:t xml:space="preserve">the volume overview books, then the implementation volume and the deployable kits.</w:t>
      </w:r>
    </w:p>
    <w:bookmarkEnd w:id="13"/>
    <w:bookmarkStart w:id="14" w:name="honest-status"/>
    <w:p>
      <w:pPr>
        <w:pStyle w:val="Heading2"/>
      </w:pPr>
      <w:r>
        <w:t xml:space="preserve">Honest status</w:t>
      </w:r>
    </w:p>
    <w:p>
      <w:pPr>
        <w:pStyle w:val="FirstParagraph"/>
      </w:pPr>
      <w:r>
        <w:t xml:space="preserve">Self-assessed against the series’ internal Key Security Indicator decomposition. Coverage is partial. The package is pending independent security control assessment. Nothing here is an authorization result.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2026-10-19T10:10:31Z</dcterms:created>
  <dcterms:modified xsi:type="dcterms:W3CDTF">2026-10-19T10:10:31Z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