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 w:name="X00aaf6a2263f655e1b48bfbadeb87b88e44fd28"/>
    <w:p>
      <w:pPr>
        <w:pStyle w:val="Heading1"/>
      </w:pPr>
      <w:r>
        <w:t xml:space="preserve">Federal Compliance Series - Moderate — Executive Summary</w:t>
      </w:r>
    </w:p>
    <w:p>
      <w:pPr>
        <w:pStyle w:val="FirstParagraph"/>
      </w:pPr>
      <w:r>
        <w:rPr>
          <w:b/>
          <w:bCs/>
        </w:rPr>
        <w:t xml:space="preserve">Technical compendium — thesis, doctrine, and control-closure framing</w:t>
      </w:r>
    </w:p>
    <w:bookmarkStart w:id="9" w:name="draft-posture"/>
    <w:p>
      <w:pPr>
        <w:pStyle w:val="Heading2"/>
      </w:pPr>
      <w:r>
        <w:t xml:space="preserve">Draft posture</w:t>
      </w:r>
    </w:p>
    <w:p>
      <w:pPr>
        <w:pStyle w:val="FirstParagraph"/>
      </w:pPr>
      <w:r>
        <w:t xml:space="preserve">This document is a draft proposal. It is an attempt at a comprehensive agency-wide technical roadmap and has not been reviewed or approved by the agency CIO Office, the Office of Information Security, or organizational leadership. All recommendations, vendor selections, control mappings, and implementation timelines are subject to revision pending formal review.</w:t>
      </w:r>
    </w:p>
    <w:bookmarkEnd w:id="9"/>
    <w:bookmarkStart w:id="10" w:name="what-this-is"/>
    <w:p>
      <w:pPr>
        <w:pStyle w:val="Heading2"/>
      </w:pPr>
      <w:r>
        <w:t xml:space="preserve">What this is</w:t>
      </w:r>
    </w:p>
    <w:p>
      <w:pPr>
        <w:pStyle w:val="FirstParagraph"/>
      </w:pPr>
      <w:r>
        <w:t xml:space="preserve">A comprehensive technical roadmap — mapping implementation areas to specific control families, identifying closure mechanisms, and sequencing the work against the regulatory timeline. It is an attempt at a true enterprise-wide view.</w:t>
      </w:r>
    </w:p>
    <w:bookmarkEnd w:id="10"/>
    <w:bookmarkStart w:id="11" w:name="what-this-is-not"/>
    <w:p>
      <w:pPr>
        <w:pStyle w:val="Heading2"/>
      </w:pPr>
      <w:r>
        <w:t xml:space="preserve">What this is not</w:t>
      </w:r>
    </w:p>
    <w:p>
      <w:pPr>
        <w:pStyle w:val="FirstParagraph"/>
      </w:pPr>
      <w:r>
        <w:t xml:space="preserve">A final implementation mandate, an organizational assignment of responsibilities, or a procurement decision. Security policy authority, control ownership, budget authority, and implementation accountability span multiple organizations and must be established through a formal alignment process.</w:t>
      </w:r>
    </w:p>
    <w:bookmarkEnd w:id="11"/>
    <w:bookmarkStart w:id="12" w:name="series-structure"/>
    <w:p>
      <w:pPr>
        <w:pStyle w:val="Heading2"/>
      </w:pPr>
      <w:r>
        <w:t xml:space="preserve">Series structure</w:t>
      </w:r>
    </w:p>
    <w:p>
      <w:pPr>
        <w:pStyle w:val="FirstParagraph"/>
      </w:pPr>
      <w:r>
        <w:t xml:space="preserve">The series comprises implementation guides organized across eleven volumes:</w:t>
      </w:r>
    </w:p>
    <w:p>
      <w:pPr>
        <w:pStyle w:val="Compact"/>
        <w:numPr>
          <w:ilvl w:val="0"/>
          <w:numId w:val="1001"/>
        </w:numPr>
      </w:pPr>
      <w:r>
        <w:rPr>
          <w:b/>
          <w:bCs/>
        </w:rPr>
        <w:t xml:space="preserve">Vol 0</w:t>
      </w:r>
      <w:r>
        <w:t xml:space="preserve"> </w:t>
      </w:r>
      <w:r>
        <w:t xml:space="preserve">— Executive Summary, Questionnaire &amp; Control Crosswalk</w:t>
      </w:r>
    </w:p>
    <w:p>
      <w:pPr>
        <w:pStyle w:val="Compact"/>
        <w:numPr>
          <w:ilvl w:val="0"/>
          <w:numId w:val="1001"/>
        </w:numPr>
      </w:pPr>
      <w:r>
        <w:rPr>
          <w:b/>
          <w:bCs/>
        </w:rPr>
        <w:t xml:space="preserve">Vol I</w:t>
      </w:r>
      <w:r>
        <w:t xml:space="preserve"> </w:t>
      </w:r>
      <w:r>
        <w:t xml:space="preserve">— Foundation &amp; Transport (naming, identity, trust, network, telecommunications)</w:t>
      </w:r>
    </w:p>
    <w:p>
      <w:pPr>
        <w:pStyle w:val="Compact"/>
        <w:numPr>
          <w:ilvl w:val="0"/>
          <w:numId w:val="1001"/>
        </w:numPr>
      </w:pPr>
      <w:r>
        <w:rPr>
          <w:b/>
          <w:bCs/>
        </w:rPr>
        <w:t xml:space="preserve">Vol II</w:t>
      </w:r>
      <w:r>
        <w:t xml:space="preserve"> </w:t>
      </w:r>
      <w:r>
        <w:t xml:space="preserve">— Data Platform (database authentication and consolidation)</w:t>
      </w:r>
    </w:p>
    <w:p>
      <w:pPr>
        <w:pStyle w:val="Compact"/>
        <w:numPr>
          <w:ilvl w:val="0"/>
          <w:numId w:val="1001"/>
        </w:numPr>
      </w:pPr>
      <w:r>
        <w:rPr>
          <w:b/>
          <w:bCs/>
        </w:rPr>
        <w:t xml:space="preserve">Vol III</w:t>
      </w:r>
      <w:r>
        <w:t xml:space="preserve"> </w:t>
      </w:r>
      <w:r>
        <w:t xml:space="preserve">— Security Operations (privileged access, vulnerability, patch, cloud-native posture, data protection, detection engineering, multi-cloud evidence)</w:t>
      </w:r>
    </w:p>
    <w:p>
      <w:pPr>
        <w:pStyle w:val="Compact"/>
        <w:numPr>
          <w:ilvl w:val="0"/>
          <w:numId w:val="1001"/>
        </w:numPr>
      </w:pPr>
      <w:r>
        <w:rPr>
          <w:b/>
          <w:bCs/>
        </w:rPr>
        <w:t xml:space="preserve">Vol IV</w:t>
      </w:r>
      <w:r>
        <w:t xml:space="preserve"> </w:t>
      </w:r>
      <w:r>
        <w:t xml:space="preserve">— Governance &amp; Assurance (business continuity, supply chain, program management, privacy, training, authorization package)</w:t>
      </w:r>
    </w:p>
    <w:p>
      <w:pPr>
        <w:pStyle w:val="Compact"/>
        <w:numPr>
          <w:ilvl w:val="0"/>
          <w:numId w:val="1001"/>
        </w:numPr>
      </w:pPr>
      <w:r>
        <w:rPr>
          <w:b/>
          <w:bCs/>
        </w:rPr>
        <w:t xml:space="preserve">Vol V</w:t>
      </w:r>
      <w:r>
        <w:t xml:space="preserve"> </w:t>
      </w:r>
      <w:r>
        <w:t xml:space="preserve">— Training &amp; Certification</w:t>
      </w:r>
    </w:p>
    <w:p>
      <w:pPr>
        <w:pStyle w:val="Compact"/>
        <w:numPr>
          <w:ilvl w:val="0"/>
          <w:numId w:val="1001"/>
        </w:numPr>
      </w:pPr>
      <w:r>
        <w:rPr>
          <w:b/>
          <w:bCs/>
        </w:rPr>
        <w:t xml:space="preserve">Vol VI</w:t>
      </w:r>
      <w:r>
        <w:t xml:space="preserve"> </w:t>
      </w:r>
      <w:r>
        <w:t xml:space="preserve">— Implementation (deploy-as-code layer)</w:t>
      </w:r>
    </w:p>
    <w:p>
      <w:pPr>
        <w:pStyle w:val="Compact"/>
        <w:numPr>
          <w:ilvl w:val="0"/>
          <w:numId w:val="1001"/>
        </w:numPr>
      </w:pPr>
      <w:r>
        <w:rPr>
          <w:b/>
          <w:bCs/>
        </w:rPr>
        <w:t xml:space="preserve">Vol VII</w:t>
      </w:r>
      <w:r>
        <w:t xml:space="preserve"> </w:t>
      </w:r>
      <w:r>
        <w:t xml:space="preserve">— Automation (workflow and evidence coordination)</w:t>
      </w:r>
    </w:p>
    <w:p>
      <w:pPr>
        <w:pStyle w:val="Compact"/>
        <w:numPr>
          <w:ilvl w:val="0"/>
          <w:numId w:val="1001"/>
        </w:numPr>
      </w:pPr>
      <w:r>
        <w:rPr>
          <w:b/>
          <w:bCs/>
        </w:rPr>
        <w:t xml:space="preserve">Vol VIII</w:t>
      </w:r>
      <w:r>
        <w:t xml:space="preserve"> </w:t>
      </w:r>
      <w:r>
        <w:t xml:space="preserve">— Multi-Cloud DNS/DHCP/IPAM</w:t>
      </w:r>
    </w:p>
    <w:p>
      <w:pPr>
        <w:pStyle w:val="Compact"/>
        <w:numPr>
          <w:ilvl w:val="0"/>
          <w:numId w:val="1001"/>
        </w:numPr>
      </w:pPr>
      <w:r>
        <w:rPr>
          <w:b/>
          <w:bCs/>
        </w:rPr>
        <w:t xml:space="preserve">Vol IX</w:t>
      </w:r>
      <w:r>
        <w:t xml:space="preserve"> </w:t>
      </w:r>
      <w:r>
        <w:t xml:space="preserve">— Day-2 Operations</w:t>
      </w:r>
    </w:p>
    <w:p>
      <w:pPr>
        <w:pStyle w:val="Compact"/>
        <w:numPr>
          <w:ilvl w:val="0"/>
          <w:numId w:val="1001"/>
        </w:numPr>
      </w:pPr>
      <w:r>
        <w:rPr>
          <w:b/>
          <w:bCs/>
        </w:rPr>
        <w:t xml:space="preserve">Vol X</w:t>
      </w:r>
      <w:r>
        <w:t xml:space="preserve"> </w:t>
      </w:r>
      <w:r>
        <w:t xml:space="preserve">— Governance-Substrate Integration (optional binding)</w:t>
      </w:r>
    </w:p>
    <w:bookmarkEnd w:id="12"/>
    <w:bookmarkStart w:id="13" w:name="load-bearing-mechanisms"/>
    <w:p>
      <w:pPr>
        <w:pStyle w:val="Heading2"/>
      </w:pPr>
      <w:r>
        <w:t xml:space="preserve">Load-bearing mechanisms</w:t>
      </w:r>
    </w:p>
    <w:p>
      <w:pPr>
        <w:pStyle w:val="FirstParagraph"/>
      </w:pPr>
      <w:r>
        <w:t xml:space="preserve">A small number of truth-plane mechanisms are load-bearing:</w:t>
      </w:r>
      <w:r>
        <w:t xml:space="preserve"> </w:t>
      </w:r>
      <w:r>
        <w:t xml:space="preserve">- Authoritative naming and addressing (IPAM/DDI).</w:t>
      </w:r>
      <w:r>
        <w:t xml:space="preserve"> </w:t>
      </w:r>
      <w:r>
        <w:t xml:space="preserve">- Cryptographic identity.</w:t>
      </w:r>
      <w:r>
        <w:t xml:space="preserve"> </w:t>
      </w:r>
      <w:r>
        <w:t xml:space="preserve">- A unified evidence contract.</w:t>
      </w:r>
    </w:p>
    <w:p>
      <w:pPr>
        <w:pStyle w:val="BodyText"/>
      </w:pPr>
      <w:r>
        <w:t xml:space="preserve">Everything else can be re-platformed. These can only be depended on.</w:t>
      </w:r>
    </w:p>
    <w:bookmarkEnd w:id="13"/>
    <w:bookmarkStart w:id="14" w:name="one-lifecycle"/>
    <w:p>
      <w:pPr>
        <w:pStyle w:val="Heading2"/>
      </w:pPr>
      <w:r>
        <w:t xml:space="preserve">One lifecycle</w:t>
      </w:r>
    </w:p>
    <w:p>
      <w:pPr>
        <w:pStyle w:val="FirstParagraph"/>
      </w:pPr>
      <w:r>
        <w:t xml:space="preserve">Every operational change travels the same five-clause authorized path:</w:t>
      </w:r>
      <w:r>
        <w:t xml:space="preserve"> </w:t>
      </w:r>
      <w:r>
        <w:t xml:space="preserve">1. Originates with the authoritative source.</w:t>
      </w:r>
      <w:r>
        <w:t xml:space="preserve"> </w:t>
      </w:r>
      <w:r>
        <w:t xml:space="preserve">2. Carries an authoritative authorization.</w:t>
      </w:r>
      <w:r>
        <w:t xml:space="preserve"> </w:t>
      </w:r>
      <w:r>
        <w:t xml:space="preserve">3. Executes under least privilege with just-in-time elevation.</w:t>
      </w:r>
      <w:r>
        <w:t xml:space="preserve"> </w:t>
      </w:r>
      <w:r>
        <w:t xml:space="preserve">4. Closes with provenance.</w:t>
      </w:r>
      <w:r>
        <w:t xml:space="preserve"> </w:t>
      </w:r>
      <w:r>
        <w:t xml:space="preserve">5. Emits verified, secured evidence automatically to continuous monitoring.</w:t>
      </w:r>
    </w:p>
    <w:p>
      <w:pPr>
        <w:pStyle w:val="BodyText"/>
      </w:pPr>
      <w:r>
        <w:t xml:space="preserve">No closure counts unless it carries its proof.</w:t>
      </w:r>
    </w:p>
    <w:bookmarkEnd w:id="14"/>
    <w:bookmarkStart w:id="15" w:name="control-closure"/>
    <w:p>
      <w:pPr>
        <w:pStyle w:val="Heading2"/>
      </w:pPr>
      <w:r>
        <w:t xml:space="preserve">Control closure</w:t>
      </w:r>
    </w:p>
    <w:p>
      <w:pPr>
        <w:pStyle w:val="FirstParagraph"/>
      </w:pPr>
      <w:r>
        <w:t xml:space="preserve">Each book generates its authorities-closed table from a single compliance spine: the authoritative source that maps every NIST SP 800-53 control the series closes to the book that closes it, the mechanism, the accreditation gate, the FedRAMP 20x Key Security Indicator theme, and the evidence slot. The tables are generated, never hand-edited.</w:t>
      </w:r>
    </w:p>
    <w:bookmarkEnd w:id="15"/>
    <w:bookmarkStart w:id="16" w:name="honest-limits"/>
    <w:p>
      <w:pPr>
        <w:pStyle w:val="Heading2"/>
      </w:pPr>
      <w:r>
        <w:t xml:space="preserve">Honest limits</w:t>
      </w:r>
    </w:p>
    <w:p>
      <w:pPr>
        <w:pStyle w:val="Compact"/>
        <w:numPr>
          <w:ilvl w:val="0"/>
          <w:numId w:val="1002"/>
        </w:numPr>
      </w:pPr>
      <w:r>
        <w:t xml:space="preserve">The series is engine-neutral. It speaks to an open Evidence &amp; Authorization Contract that any conformant evidence engine can satisfy.</w:t>
      </w:r>
    </w:p>
    <w:p>
      <w:pPr>
        <w:pStyle w:val="Compact"/>
        <w:numPr>
          <w:ilvl w:val="0"/>
          <w:numId w:val="1002"/>
        </w:numPr>
      </w:pPr>
      <w:r>
        <w:t xml:space="preserve">Coverage is partial and pending independent assessment.</w:t>
      </w:r>
    </w:p>
    <w:p>
      <w:pPr>
        <w:pStyle w:val="Compact"/>
        <w:numPr>
          <w:ilvl w:val="0"/>
          <w:numId w:val="1002"/>
        </w:numPr>
      </w:pPr>
      <w:r>
        <w:t xml:space="preserve">The compliance timeline is not advisory. The FedRAMP 20x mandatory date is a regulatory requirement.</w:t>
      </w:r>
    </w:p>
    <w:p>
      <w:r>
        <w:pict>
          <v:rect style="width:0;height:1.5pt" o:hralign="center" o:hrstd="t" o:hr="t"/>
        </w:pict>
      </w:r>
    </w:p>
    <w:p>
      <w:pPr>
        <w:pStyle w:val="FirstParagraph"/>
      </w:pPr>
      <w:r>
        <w:rPr>
          <w:i/>
          <w:iCs/>
        </w:rPr>
        <w:t xml:space="preserve">Cleaned extraction for project use. No internal branding or document identifiers. Full sixty-book series remains in source materials.</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2026-10-19T10:10:31Z</dcterms:created>
  <dcterms:modified xsi:type="dcterms:W3CDTF">2026-10-19T10:10:31Z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biblio-config">
    <vt:lpwstr>True</vt:lpwstr>
  </property>
  <property fmtid="{D5CDD505-2E9C-101B-9397-08002B2CF9AE}" pid="4" name="date-format">
    <vt:lpwstr>YYYY-MM-DD HH:mm [ET]</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toc-title">
    <vt:lpwstr>Table of contents</vt:lpwstr>
  </property>
</Properties>
</file>