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X65a3e4276cfdae4285eff1d769c4a6bd4a8369a"/>
    <w:p>
      <w:pPr>
        <w:pStyle w:val="Heading1"/>
      </w:pPr>
      <w:r>
        <w:t xml:space="preserve">Federal Compliance Series - Moderate — Volume III: Security Operations</w:t>
      </w:r>
    </w:p>
    <w:p>
      <w:pPr>
        <w:pStyle w:val="FirstParagraph"/>
      </w:pPr>
      <w:r>
        <w:rPr>
          <w:b/>
          <w:bCs/>
        </w:rPr>
        <w:t xml:space="preserve">Volume purpose — where the Management-Plane Coordination Doctrine is realized</w:t>
      </w:r>
    </w:p>
    <w:bookmarkStart w:id="9" w:name="draft-posture"/>
    <w:p>
      <w:pPr>
        <w:pStyle w:val="Heading2"/>
      </w:pPr>
      <w:r>
        <w:t xml:space="preserve">Draft posture</w:t>
      </w:r>
    </w:p>
    <w:p>
      <w:pPr>
        <w:pStyle w:val="FirstParagraph"/>
      </w:pPr>
      <w:r>
        <w:t xml:space="preserve">This document is a draft proposal. It has not been reviewed or approved by the agency CIO Office, the Office of Information Security, or organizational leadership.</w:t>
      </w:r>
    </w:p>
    <w:bookmarkEnd w:id="9"/>
    <w:bookmarkStart w:id="10" w:name="volume-purpose"/>
    <w:p>
      <w:pPr>
        <w:pStyle w:val="Heading2"/>
      </w:pPr>
      <w:r>
        <w:t xml:space="preserve">Volume purpose</w:t>
      </w:r>
    </w:p>
    <w:p>
      <w:pPr>
        <w:pStyle w:val="FirstParagraph"/>
      </w:pPr>
      <w:r>
        <w:t xml:space="preserve">Volume III is where the series’ operational security planes live — and where the Management-Plane Coordination Doctrine is realized. The doctrine’s split runs through every book here: actuation is platform-native (privileged access, patching, and posture are performed by each platform’s own stack), while governance and evidence are unified into one machine-readable contract that flows to continuous monitoring and the FedRAMP 20x Key Security Indicator pipeline.</w:t>
      </w:r>
    </w:p>
    <w:p>
      <w:pPr>
        <w:pStyle w:val="BodyText"/>
      </w:pPr>
      <w:r>
        <w:t xml:space="preserve">This is the volume that answers, for a genuinely multi-cloud federal estate, the question the doctrine poses: not “which single console runs everything,” but “which native stack actuates, and how does its evidence join the one compliance picture.” The multi-cloud evidence fabric closes that loop; the other books feed it.</w:t>
      </w:r>
    </w:p>
    <w:bookmarkEnd w:id="10"/>
    <w:bookmarkStart w:id="11" w:name="books-in-this-volume"/>
    <w:p>
      <w:pPr>
        <w:pStyle w:val="Heading2"/>
      </w:pPr>
      <w:r>
        <w:t xml:space="preserve">Books in this volume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01"/>
        <w:gridCol w:w="2917"/>
        <w:gridCol w:w="250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01</w:t>
            </w:r>
          </w:p>
        </w:tc>
        <w:tc>
          <w:tcPr/>
          <w:p>
            <w:pPr>
              <w:pStyle w:val="Compact"/>
            </w:pPr>
            <w:r>
              <w:t xml:space="preserve">Privileged Access Management</w:t>
            </w:r>
          </w:p>
        </w:tc>
        <w:tc>
          <w:tcPr/>
          <w:p>
            <w:pPr>
              <w:pStyle w:val="Compact"/>
            </w:pPr>
            <w:r>
              <w:t xml:space="preserve">Least privilege across clouds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02</w:t>
            </w:r>
          </w:p>
        </w:tc>
        <w:tc>
          <w:tcPr/>
          <w:p>
            <w:pPr>
              <w:pStyle w:val="Compact"/>
            </w:pPr>
            <w:r>
              <w:t xml:space="preserve">Vulnerability Management</w:t>
            </w:r>
          </w:p>
        </w:tc>
        <w:tc>
          <w:tcPr/>
          <w:p>
            <w:pPr>
              <w:pStyle w:val="Compact"/>
            </w:pPr>
            <w:r>
              <w:t xml:space="preserve">Assessment and prioritization — the scan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03</w:t>
            </w:r>
          </w:p>
        </w:tc>
        <w:tc>
          <w:tcPr/>
          <w:p>
            <w:pPr>
              <w:pStyle w:val="Compact"/>
            </w:pPr>
            <w:r>
              <w:t xml:space="preserve">Patch &amp; Systems Management</w:t>
            </w:r>
          </w:p>
        </w:tc>
        <w:tc>
          <w:tcPr/>
          <w:p>
            <w:pPr>
              <w:pStyle w:val="Compact"/>
            </w:pPr>
            <w:r>
              <w:t xml:space="preserve">Remediation actuation across cloud service provider and operating system — the close-it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04</w:t>
            </w:r>
          </w:p>
        </w:tc>
        <w:tc>
          <w:tcPr/>
          <w:p>
            <w:pPr>
              <w:pStyle w:val="Compact"/>
            </w:pPr>
            <w:r>
              <w:t xml:space="preserve">Cloud-Native Security Posture &amp; Containers</w:t>
            </w:r>
          </w:p>
        </w:tc>
        <w:tc>
          <w:tcPr/>
          <w:p>
            <w:pPr>
              <w:pStyle w:val="Compact"/>
            </w:pPr>
            <w:r>
              <w:t xml:space="preserve">Cloud security posture management, cloud-native application protection, Kubernetes — misconfiguration, exposure,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05</w:t>
            </w:r>
          </w:p>
        </w:tc>
        <w:tc>
          <w:tcPr/>
          <w:p>
            <w:pPr>
              <w:pStyle w:val="Compact"/>
            </w:pPr>
            <w:r>
              <w:t xml:space="preserve">Data Protection</w:t>
            </w:r>
          </w:p>
        </w:tc>
        <w:tc>
          <w:tcPr/>
          <w:p>
            <w:pPr>
              <w:pStyle w:val="Compact"/>
            </w:pPr>
            <w:r>
              <w:t xml:space="preserve">Classification, data loss prevention, and multi-cloud key management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06</w:t>
            </w:r>
          </w:p>
        </w:tc>
        <w:tc>
          <w:tcPr/>
          <w:p>
            <w:pPr>
              <w:pStyle w:val="Compact"/>
            </w:pPr>
            <w:r>
              <w:t xml:space="preserve">SIEM / XDR Detection</w:t>
            </w:r>
          </w:p>
        </w:tc>
        <w:tc>
          <w:tcPr/>
          <w:p>
            <w:pPr>
              <w:pStyle w:val="Compact"/>
            </w:pPr>
            <w:r>
              <w:t xml:space="preserve">Detection engineering — analytics and response over the evidence 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07</w:t>
            </w:r>
          </w:p>
        </w:tc>
        <w:tc>
          <w:tcPr/>
          <w:p>
            <w:pPr>
              <w:pStyle w:val="Compact"/>
            </w:pPr>
            <w:r>
              <w:t xml:space="preserve">Multi-Cloud Evidence Fabric</w:t>
            </w:r>
          </w:p>
        </w:tc>
        <w:tc>
          <w:tcPr/>
          <w:p>
            <w:pPr>
              <w:pStyle w:val="Compact"/>
            </w:pPr>
            <w:r>
              <w:t xml:space="preserve">The coordination home — every source’s record → one lake → continuous monitoring → Key Security Indicator</w:t>
            </w:r>
          </w:p>
        </w:tc>
      </w:tr>
    </w:tbl>
    <w:bookmarkEnd w:id="11"/>
    <w:bookmarkStart w:id="12" w:name="how-this-volume-fits-the-program"/>
    <w:p>
      <w:pPr>
        <w:pStyle w:val="Heading2"/>
      </w:pPr>
      <w:r>
        <w:t xml:space="preserve">How this volume fits the program</w:t>
      </w:r>
    </w:p>
    <w:p>
      <w:pPr>
        <w:pStyle w:val="FirstParagraph"/>
      </w:pPr>
      <w:r>
        <w:t xml:space="preserve">Volume III depends on Volume I’s naming-plane join key — without one authoritative asset identity, multiple stacks produce multiple inventories that cannot be reconciled. It produces the correlated, machine-readable evidence stream that the authorization package and continuous-monitoring volume freezes into the structured bundle. Truth is separated from enforcement throughout: the evidence fabric is a truth plane, depended on; the actuation stacks are enforcement planes, re-platformable per vendor.</w:t>
      </w:r>
    </w:p>
    <w:bookmarkEnd w:id="12"/>
    <w:bookmarkStart w:id="13" w:name="where-evidence-lands"/>
    <w:p>
      <w:pPr>
        <w:pStyle w:val="Heading2"/>
      </w:pPr>
      <w:r>
        <w:t xml:space="preserve">Where evidence lands</w:t>
      </w:r>
    </w:p>
    <w:p>
      <w:pPr>
        <w:pStyle w:val="FirstParagraph"/>
      </w:pPr>
      <w:r>
        <w:t xml:space="preserve">The binding of this volume’s closures and evidence to a governance substrate is optional and separable. The volume stands complete at FedRAMP Moderate with no substrate engagement at all. Adopting a substrate adds machine-checked scoring and drift-gating on top of what is already closed, and can be adopted later — or never — without rework.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2026-10-19T10:10:32Z</dcterms:created>
  <dcterms:modified xsi:type="dcterms:W3CDTF">2026-10-19T10:10:32Z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