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4" w:name="Xa2f845f3b8d20ba4dd7f2018f293278c3f8f3bf"/>
    <w:p>
      <w:pPr>
        <w:pStyle w:val="Heading1"/>
      </w:pPr>
      <w:r>
        <w:t xml:space="preserve">Federal Compliance Series - Moderate — Volume IV: Governance &amp; Assurance</w:t>
      </w:r>
    </w:p>
    <w:p>
      <w:pPr>
        <w:pStyle w:val="FirstParagraph"/>
      </w:pPr>
      <w:r>
        <w:rPr>
          <w:b/>
          <w:bCs/>
        </w:rPr>
        <w:t xml:space="preserve">Volume purpose — turning technical evidence into a federal authorization</w:t>
      </w:r>
    </w:p>
    <w:bookmarkStart w:id="9" w:name="draft-posture"/>
    <w:p>
      <w:pPr>
        <w:pStyle w:val="Heading2"/>
      </w:pPr>
      <w:r>
        <w:t xml:space="preserve">Draft posture</w:t>
      </w:r>
    </w:p>
    <w:p>
      <w:pPr>
        <w:pStyle w:val="FirstParagraph"/>
      </w:pPr>
      <w:r>
        <w:t xml:space="preserve">This document is a draft proposal. It has not been reviewed or approved by the agency CIO Office, the Office of Information Security, or organizational leadership.</w:t>
      </w:r>
    </w:p>
    <w:bookmarkEnd w:id="9"/>
    <w:bookmarkStart w:id="10" w:name="volume-purpose"/>
    <w:p>
      <w:pPr>
        <w:pStyle w:val="Heading2"/>
      </w:pPr>
      <w:r>
        <w:t xml:space="preserve">Volume purpose</w:t>
      </w:r>
    </w:p>
    <w:p>
      <w:pPr>
        <w:pStyle w:val="FirstParagraph"/>
      </w:pPr>
      <w:r>
        <w:t xml:space="preserve">Volume IV turns the technical evidence of Volumes I–III into a federal authorization. The infrastructure volumes produce capabilities and machine-readable evidence; Volume IV supplies the layer that infrastructure alone cannot — the documents, signatures, processes, and the structured package that an authorizing official and an assessor actually consume. The volume’s books carry the closures for the control families that are satisfied by artifacts rather than configuration — contingency planning, supply-chain risk, program management, privacy/PII processing, awareness and training, and assessment/authorization/continuous monitoring.</w:t>
      </w:r>
    </w:p>
    <w:p>
      <w:pPr>
        <w:pStyle w:val="BodyText"/>
      </w:pPr>
      <w:r>
        <w:t xml:space="preserve">The volume’s recurring lesson is the series’ sharpest governance point: a perfectly configured control that cannot produce a signed, tested, machine-readable artifact is, from the assessor’s chair, an open finding. Volume IV manufactures the artifacts.</w:t>
      </w:r>
    </w:p>
    <w:bookmarkEnd w:id="10"/>
    <w:bookmarkStart w:id="11" w:name="books-in-this-volume"/>
    <w:p>
      <w:pPr>
        <w:pStyle w:val="Heading2"/>
      </w:pPr>
      <w:r>
        <w:t xml:space="preserve">Books in this volume</w:t>
      </w:r>
    </w:p>
    <w:tbl>
      <w:tblPr>
        <w:tblStyle w:val="Table"/>
        <w:tblW w:type="pct" w:w="5000"/>
        <w:tblLayout w:type="fixed"/>
        <w:tblLook w:firstRow="1" w:lastRow="0" w:firstColumn="0" w:lastColumn="0" w:noHBand="0" w:noVBand="0" w:val="0020"/>
      </w:tblPr>
      <w:tblGrid>
        <w:gridCol w:w="2501"/>
        <w:gridCol w:w="2917"/>
        <w:gridCol w:w="2501"/>
      </w:tblGrid>
      <w:tr>
        <w:trPr>
          <w:tblHeader w:val="on"/>
        </w:trPr>
        <w:tc>
          <w:tcPr/>
          <w:p>
            <w:pPr>
              <w:pStyle w:val="Compact"/>
            </w:pPr>
            <w:r>
              <w:t xml:space="preserve">Book</w:t>
            </w:r>
          </w:p>
        </w:tc>
        <w:tc>
          <w:tcPr/>
          <w:p>
            <w:pPr>
              <w:pStyle w:val="Compact"/>
            </w:pPr>
            <w:r>
              <w:t xml:space="preserve">Title</w:t>
            </w:r>
          </w:p>
        </w:tc>
        <w:tc>
          <w:tcPr/>
          <w:p>
            <w:pPr>
              <w:pStyle w:val="Compact"/>
            </w:pPr>
            <w:r>
              <w:t xml:space="preserve">Role</w:t>
            </w:r>
          </w:p>
        </w:tc>
      </w:tr>
      <w:tr>
        <w:tc>
          <w:tcPr/>
          <w:p>
            <w:pPr>
              <w:pStyle w:val="Compact"/>
            </w:pPr>
            <w:r>
              <w:t xml:space="preserve">Book 01</w:t>
            </w:r>
          </w:p>
        </w:tc>
        <w:tc>
          <w:tcPr/>
          <w:p>
            <w:pPr>
              <w:pStyle w:val="Compact"/>
            </w:pPr>
            <w:r>
              <w:t xml:space="preserve">Business Continuity</w:t>
            </w:r>
          </w:p>
        </w:tc>
        <w:tc>
          <w:tcPr/>
          <w:p>
            <w:pPr>
              <w:pStyle w:val="Compact"/>
            </w:pPr>
            <w:r>
              <w:t xml:space="preserve">Contingency plan, business impact analysis, disaster-recovery validation</w:t>
            </w:r>
          </w:p>
        </w:tc>
      </w:tr>
      <w:tr>
        <w:tc>
          <w:tcPr/>
          <w:p>
            <w:pPr>
              <w:pStyle w:val="Compact"/>
            </w:pPr>
            <w:r>
              <w:t xml:space="preserve">Book 02</w:t>
            </w:r>
          </w:p>
        </w:tc>
        <w:tc>
          <w:tcPr/>
          <w:p>
            <w:pPr>
              <w:pStyle w:val="Compact"/>
            </w:pPr>
            <w:r>
              <w:t xml:space="preserve">Supply Chain Risk Management</w:t>
            </w:r>
          </w:p>
        </w:tc>
        <w:tc>
          <w:tcPr/>
          <w:p>
            <w:pPr>
              <w:pStyle w:val="Compact"/>
            </w:pPr>
            <w:r>
              <w:t xml:space="preserve">Software bill of materials / vulnerability disclosure / vulnerability exploitability pipeline</w:t>
            </w:r>
          </w:p>
        </w:tc>
      </w:tr>
      <w:tr>
        <w:tc>
          <w:tcPr/>
          <w:p>
            <w:pPr>
              <w:pStyle w:val="Compact"/>
            </w:pPr>
            <w:r>
              <w:t xml:space="preserve">Book 03</w:t>
            </w:r>
          </w:p>
        </w:tc>
        <w:tc>
          <w:tcPr/>
          <w:p>
            <w:pPr>
              <w:pStyle w:val="Compact"/>
            </w:pPr>
            <w:r>
              <w:t xml:space="preserve">Program Management &amp; Governance</w:t>
            </w:r>
          </w:p>
        </w:tc>
        <w:tc>
          <w:tcPr/>
          <w:p>
            <w:pPr>
              <w:pStyle w:val="Compact"/>
            </w:pPr>
            <w:r>
              <w:t xml:space="preserve">Information security program plan, plan of action and milestones, supply-chain risk management charter</w:t>
            </w:r>
          </w:p>
        </w:tc>
      </w:tr>
      <w:tr>
        <w:tc>
          <w:tcPr/>
          <w:p>
            <w:pPr>
              <w:pStyle w:val="Compact"/>
            </w:pPr>
            <w:r>
              <w:t xml:space="preserve">Book 04</w:t>
            </w:r>
          </w:p>
        </w:tc>
        <w:tc>
          <w:tcPr/>
          <w:p>
            <w:pPr>
              <w:pStyle w:val="Compact"/>
            </w:pPr>
            <w:r>
              <w:t xml:space="preserve">PII Processing &amp; Transparency</w:t>
            </w:r>
          </w:p>
        </w:tc>
        <w:tc>
          <w:tcPr/>
          <w:p>
            <w:pPr>
              <w:pStyle w:val="Compact"/>
            </w:pPr>
            <w:r>
              <w:t xml:space="preserve">Privacy program, authority-to-process, system of records notice / privacy impact assessment</w:t>
            </w:r>
          </w:p>
        </w:tc>
      </w:tr>
      <w:tr>
        <w:tc>
          <w:tcPr/>
          <w:p>
            <w:pPr>
              <w:pStyle w:val="Compact"/>
            </w:pPr>
            <w:r>
              <w:t xml:space="preserve">Book 05</w:t>
            </w:r>
          </w:p>
        </w:tc>
        <w:tc>
          <w:tcPr/>
          <w:p>
            <w:pPr>
              <w:pStyle w:val="Compact"/>
            </w:pPr>
            <w:r>
              <w:t xml:space="preserve">Cybersecurity Training &amp; Awareness</w:t>
            </w:r>
          </w:p>
        </w:tc>
        <w:tc>
          <w:tcPr/>
          <w:p>
            <w:pPr>
              <w:pStyle w:val="Compact"/>
            </w:pPr>
            <w:r>
              <w:t xml:space="preserve">Role-based curriculum and machine-readable training-effectiveness evidence</w:t>
            </w:r>
          </w:p>
        </w:tc>
      </w:tr>
      <w:tr>
        <w:tc>
          <w:tcPr/>
          <w:p>
            <w:pPr>
              <w:pStyle w:val="Compact"/>
            </w:pPr>
            <w:r>
              <w:t xml:space="preserve">Book 06</w:t>
            </w:r>
          </w:p>
        </w:tc>
        <w:tc>
          <w:tcPr/>
          <w:p>
            <w:pPr>
              <w:pStyle w:val="Compact"/>
            </w:pPr>
            <w:r>
              <w:t xml:space="preserve">Authorization Package &amp; Continuous Monitoring</w:t>
            </w:r>
          </w:p>
        </w:tc>
        <w:tc>
          <w:tcPr/>
          <w:p>
            <w:pPr>
              <w:pStyle w:val="Compact"/>
            </w:pPr>
            <w:r>
              <w:t xml:space="preserve">Structured authorization package and continuous-monitoring program</w:t>
            </w:r>
          </w:p>
        </w:tc>
      </w:tr>
    </w:tbl>
    <w:bookmarkEnd w:id="11"/>
    <w:bookmarkStart w:id="12" w:name="how-this-volume-fits-the-program"/>
    <w:p>
      <w:pPr>
        <w:pStyle w:val="Heading2"/>
      </w:pPr>
      <w:r>
        <w:t xml:space="preserve">How this volume fits the program</w:t>
      </w:r>
    </w:p>
    <w:p>
      <w:pPr>
        <w:pStyle w:val="FirstParagraph"/>
      </w:pPr>
      <w:r>
        <w:t xml:space="preserve">Volume IV is the capstone. It consumes the correlated evidence stream from the multi-cloud evidence fabric and the continuity, supply-chain, and training evidence its own books generate, and assembles them into the authorization package that carries the whole program to an authorization decision. Where Volumes I–III demonstrate that the controls are closed, Volume IV demonstrates it in the idiom — structured authorization package, Key Security Indicator, plan of action and milestones — that FedRAMP 20x and the agency’s authorizing official require.</w:t>
      </w:r>
    </w:p>
    <w:bookmarkEnd w:id="12"/>
    <w:bookmarkStart w:id="13" w:name="where-evidence-lands"/>
    <w:p>
      <w:pPr>
        <w:pStyle w:val="Heading2"/>
      </w:pPr>
      <w:r>
        <w:t xml:space="preserve">Where evidence lands</w:t>
      </w:r>
    </w:p>
    <w:p>
      <w:pPr>
        <w:pStyle w:val="FirstParagraph"/>
      </w:pPr>
      <w:r>
        <w:t xml:space="preserve">The binding of this volume’s closures and evidence to a governance substrate is optional and separable. The volume stands complete at FedRAMP Moderate with no substrate engagement at all. Adopting a substrate adds machine-checked scoring and drift-gating on top of what is already closed, and can be adopted later — or never — without rework.</w:t>
      </w:r>
    </w:p>
    <w:p>
      <w:r>
        <w:pict>
          <v:rect style="width:0;height:1.5pt" o:hralign="center" o:hrstd="t" o:hr="t"/>
        </w:pict>
      </w:r>
    </w:p>
    <w:p>
      <w:pPr>
        <w:pStyle w:val="FirstParagraph"/>
      </w:pPr>
      <w:r>
        <w:rPr>
          <w:i/>
          <w:iCs/>
        </w:rPr>
        <w:t xml:space="preserve">Cleaned extraction for project use. No internal branding or document identifiers.</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2026-10-19T10:10:32Z</dcterms:created>
  <dcterms:modified xsi:type="dcterms:W3CDTF">2026-10-19T10:10:32Z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
  </property>
  <property fmtid="{D5CDD505-2E9C-101B-9397-08002B2CF9AE}" pid="3" name="biblio-config">
    <vt:lpwstr>True</vt:lpwstr>
  </property>
  <property fmtid="{D5CDD505-2E9C-101B-9397-08002B2CF9AE}" pid="4" name="date-format">
    <vt:lpwstr>YYYY-MM-DD HH:mm [ET]</vt:lpwstr>
  </property>
  <property fmtid="{D5CDD505-2E9C-101B-9397-08002B2CF9AE}" pid="5" name="header-includes">
    <vt:lpwstr/>
  </property>
  <property fmtid="{D5CDD505-2E9C-101B-9397-08002B2CF9AE}" pid="6" name="include-after">
    <vt:lpwstr/>
  </property>
  <property fmtid="{D5CDD505-2E9C-101B-9397-08002B2CF9AE}" pid="7" name="include-before">
    <vt:lpwstr/>
  </property>
  <property fmtid="{D5CDD505-2E9C-101B-9397-08002B2CF9AE}" pid="8" name="labels">
    <vt:lpwstr/>
  </property>
  <property fmtid="{D5CDD505-2E9C-101B-9397-08002B2CF9AE}" pid="9" name="toc-title">
    <vt:lpwstr>Table of contents</vt:lpwstr>
  </property>
</Properties>
</file>