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5" w:name="X487e0a35e73f6f17981299ac0af5a8f1f7fd798"/>
    <w:p>
      <w:pPr>
        <w:pStyle w:val="Heading1"/>
      </w:pPr>
      <w:r>
        <w:t xml:space="preserve">Federal Compliance Series - Moderate — Volume V: Training &amp; Certification</w:t>
      </w:r>
    </w:p>
    <w:p>
      <w:pPr>
        <w:pStyle w:val="FirstParagraph"/>
      </w:pPr>
      <w:r>
        <w:rPr>
          <w:b/>
          <w:bCs/>
        </w:rPr>
        <w:t xml:space="preserve">Volume purpose — the enablement layer that teaches Volumes 0–IV and evidences the training slot</w:t>
      </w:r>
    </w:p>
    <w:bookmarkStart w:id="9" w:name="draft-posture"/>
    <w:p>
      <w:pPr>
        <w:pStyle w:val="Heading2"/>
      </w:pPr>
      <w:r>
        <w:t xml:space="preserve">Draft posture</w:t>
      </w:r>
    </w:p>
    <w:p>
      <w:pPr>
        <w:pStyle w:val="FirstParagraph"/>
      </w:pPr>
      <w:r>
        <w:t xml:space="preserve">This document is a draft proposal. It has not been reviewed or approved by the agency CIO Office, the Office of Information Security, or organizational leadership.</w:t>
      </w:r>
    </w:p>
    <w:bookmarkEnd w:id="9"/>
    <w:bookmarkStart w:id="10" w:name="volume-purpose"/>
    <w:p>
      <w:pPr>
        <w:pStyle w:val="Heading2"/>
      </w:pPr>
      <w:r>
        <w:t xml:space="preserve">Volume purpose</w:t>
      </w:r>
    </w:p>
    <w:p>
      <w:pPr>
        <w:pStyle w:val="FirstParagraph"/>
      </w:pPr>
      <w:r>
        <w:t xml:space="preserve">Volume V is where the series becomes a workforce. Volumes 0–IV describe the naming and identity substrate, the data platform, the security-operations planes, and the governance and authorization machinery. None of that closes a control until someone can build the mechanism, land its evidence, and trace it from the book that specifies it, through the NIST SP 800-53 control it satisfies, to the FedRAMP 20x Key Security Indicator that scores it. Volume V builds that competency — and, in doing so, operationalizes the training program that produces the training-effectiveness record: proof that the people running the program are trained.</w:t>
      </w:r>
    </w:p>
    <w:p>
      <w:pPr>
        <w:pStyle w:val="BodyText"/>
      </w:pPr>
      <w:r>
        <w:t xml:space="preserve">The volume is organized as two tracks over the same corpus. A compliance track reads the series as control-closure evidence — one module per evidence slot, book → control → Key Security Indicator → evidence. An implementation track reads it as build instructions — one module per book cluster, each ending by landing an evidence artifact. The volume’s governing claim is that conformance tooling measures drift from an intended state; it cannot author one. A workforce, not a scanner, authors the evidence state — and that competency is itself a control.</w:t>
      </w:r>
    </w:p>
    <w:bookmarkEnd w:id="10"/>
    <w:bookmarkStart w:id="11" w:name="books-in-this-volume"/>
    <w:p>
      <w:pPr>
        <w:pStyle w:val="Heading2"/>
      </w:pPr>
      <w:r>
        <w:t xml:space="preserve">Books in this volume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01"/>
        <w:gridCol w:w="2917"/>
        <w:gridCol w:w="250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Title</w:t>
            </w:r>
          </w:p>
        </w:tc>
        <w:tc>
          <w:tcPr/>
          <w:p>
            <w:pPr>
              <w:pStyle w:val="Compact"/>
            </w:pPr>
            <w:r>
              <w:t xml:space="preserve">Role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Book 01</w:t>
            </w:r>
          </w:p>
        </w:tc>
        <w:tc>
          <w:tcPr/>
          <w:p>
            <w:pPr>
              <w:pStyle w:val="Compact"/>
            </w:pPr>
            <w:r>
              <w:t xml:space="preserve">The Compliance Track</w:t>
            </w:r>
          </w:p>
        </w:tc>
        <w:tc>
          <w:tcPr/>
          <w:p>
            <w:pPr>
              <w:pStyle w:val="Compact"/>
            </w:pPr>
            <w:r>
              <w:t xml:space="preserve">The evidence slots taught as curriculum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Book 02</w:t>
            </w:r>
          </w:p>
        </w:tc>
        <w:tc>
          <w:tcPr/>
          <w:p>
            <w:pPr>
              <w:pStyle w:val="Compact"/>
            </w:pPr>
            <w:r>
              <w:t xml:space="preserve">The Implementation Track</w:t>
            </w:r>
          </w:p>
        </w:tc>
        <w:tc>
          <w:tcPr/>
          <w:p>
            <w:pPr>
              <w:pStyle w:val="Compact"/>
            </w:pPr>
            <w:r>
              <w:t xml:space="preserve">Building the architectures and landing the evidence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Book 03</w:t>
            </w:r>
          </w:p>
        </w:tc>
        <w:tc>
          <w:tcPr/>
          <w:p>
            <w:pPr>
              <w:pStyle w:val="Compact"/>
            </w:pPr>
            <w:r>
              <w:t xml:space="preserve">Assessment, Rubrics &amp; Certification</w:t>
            </w:r>
          </w:p>
        </w:tc>
        <w:tc>
          <w:tcPr/>
          <w:p>
            <w:pPr>
              <w:pStyle w:val="Compact"/>
            </w:pPr>
            <w:r>
              <w:t xml:space="preserve">Rubric ladder and certification exam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Book 04</w:t>
            </w:r>
          </w:p>
        </w:tc>
        <w:tc>
          <w:tcPr/>
          <w:p>
            <w:pPr>
              <w:pStyle w:val="Compact"/>
            </w:pPr>
            <w:r>
              <w:t xml:space="preserve">Vendor Training &amp; Lab Environments</w:t>
            </w:r>
          </w:p>
        </w:tc>
        <w:tc>
          <w:tcPr/>
          <w:p>
            <w:pPr>
              <w:pStyle w:val="Compact"/>
            </w:pPr>
            <w:r>
              <w:t xml:space="preserve">External courses mapped per volume and scripted lab environments</w:t>
            </w:r>
          </w:p>
        </w:tc>
      </w:tr>
    </w:tbl>
    <w:bookmarkEnd w:id="11"/>
    <w:bookmarkStart w:id="12" w:name="relationship-to-volume-iv-book-05"/>
    <w:p>
      <w:pPr>
        <w:pStyle w:val="Heading2"/>
      </w:pPr>
      <w:r>
        <w:t xml:space="preserve">Relationship to Volume IV Book 05</w:t>
      </w:r>
    </w:p>
    <w:p>
      <w:pPr>
        <w:pStyle w:val="FirstParagraph"/>
      </w:pPr>
      <w:r>
        <w:t xml:space="preserve">Volume IV Book 05 specifies the awareness and training family program and its control closure. This volume is the academy that operationalizes that program — the two tracks, labs, and certification — and produces the training-effectiveness record. The division is deliberate: Volume IV Book 05 states what the program must be and close; Volume V teaches it, runs the labs, and certifies competency.</w:t>
      </w:r>
    </w:p>
    <w:bookmarkEnd w:id="12"/>
    <w:bookmarkStart w:id="13" w:name="how-this-volume-fits-the-program"/>
    <w:p>
      <w:pPr>
        <w:pStyle w:val="Heading2"/>
      </w:pPr>
      <w:r>
        <w:t xml:space="preserve">How this volume fits the program</w:t>
      </w:r>
    </w:p>
    <w:p>
      <w:pPr>
        <w:pStyle w:val="FirstParagraph"/>
      </w:pPr>
      <w:r>
        <w:t xml:space="preserve">Volume V depends on every architecture volume it teaches. It produces two things the program depends on: trained operators and assessors, and the training-effectiveness record that the authorization package freezes into the structured bundle. Remove Volume V and Volumes I–IV survive as documents, but the path from “the books exist” to “the workforce closes the controls and the training Key Security Indicator evaluates” does not.</w:t>
      </w:r>
    </w:p>
    <w:bookmarkEnd w:id="13"/>
    <w:bookmarkStart w:id="14" w:name="where-evidence-lands"/>
    <w:p>
      <w:pPr>
        <w:pStyle w:val="Heading2"/>
      </w:pPr>
      <w:r>
        <w:t xml:space="preserve">Where evidence lands</w:t>
      </w:r>
    </w:p>
    <w:p>
      <w:pPr>
        <w:pStyle w:val="FirstParagraph"/>
      </w:pPr>
      <w:r>
        <w:t xml:space="preserve">The binding of this volume’s closures and evidence to a governance substrate is optional and separable. The volume stands complete at FedRAMP Moderate with no substrate engagement at all. Adopting a substrate adds machine-checked scoring and drift-gating on top of what is already closed, and can be adopted later — or never — without rework.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 for project use. No internal branding or document identifiers.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2026-10-19T10:10:33Z</dcterms:created>
  <dcterms:modified xsi:type="dcterms:W3CDTF">2026-10-19T10:10:33Z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gency">
    <vt:lpwstr/>
  </property>
  <property fmtid="{D5CDD505-2E9C-101B-9397-08002B2CF9AE}" pid="3" name="biblio-config">
    <vt:lpwstr>True</vt:lpwstr>
  </property>
  <property fmtid="{D5CDD505-2E9C-101B-9397-08002B2CF9AE}" pid="4" name="date-format">
    <vt:lpwstr>YYYY-MM-DD HH:mm [ET]</vt:lpwstr>
  </property>
  <property fmtid="{D5CDD505-2E9C-101B-9397-08002B2CF9AE}" pid="5" name="header-includes">
    <vt:lpwstr/>
  </property>
  <property fmtid="{D5CDD505-2E9C-101B-9397-08002B2CF9AE}" pid="6" name="include-after">
    <vt:lpwstr/>
  </property>
  <property fmtid="{D5CDD505-2E9C-101B-9397-08002B2CF9AE}" pid="7" name="include-before">
    <vt:lpwstr/>
  </property>
  <property fmtid="{D5CDD505-2E9C-101B-9397-08002B2CF9AE}" pid="8" name="labels">
    <vt:lpwstr/>
  </property>
  <property fmtid="{D5CDD505-2E9C-101B-9397-08002B2CF9AE}" pid="9" name="toc-title">
    <vt:lpwstr>Table of contents</vt:lpwstr>
  </property>
</Properties>
</file>