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X40e181c02ed5d4ee511612691cc6c9140b75dd4"/>
    <w:p>
      <w:pPr>
        <w:pStyle w:val="Heading1"/>
      </w:pPr>
      <w:r>
        <w:t xml:space="preserve">Federal Compliance Series - Moderate — Volume VI: Implementation</w:t>
      </w:r>
    </w:p>
    <w:p>
      <w:pPr>
        <w:pStyle w:val="FirstParagraph"/>
      </w:pPr>
      <w:r>
        <w:rPr>
          <w:b/>
          <w:bCs/>
        </w:rPr>
        <w:t xml:space="preserve">Volume purpose — the deployable-artifact layer</w:t>
      </w:r>
    </w:p>
    <w:bookmarkStart w:id="9" w:name="draft-posture"/>
    <w:p>
      <w:pPr>
        <w:pStyle w:val="Heading2"/>
      </w:pPr>
      <w:r>
        <w:t xml:space="preserve">Draft posture</w:t>
      </w:r>
    </w:p>
    <w:p>
      <w:pPr>
        <w:pStyle w:val="FirstParagraph"/>
      </w:pPr>
      <w:r>
        <w:t xml:space="preserve">This document is a draft proposal. It has not been reviewed or approved by the agency CIO Office, the Office of Information Security, or organizational leadership.</w:t>
      </w:r>
    </w:p>
    <w:bookmarkEnd w:id="9"/>
    <w:bookmarkStart w:id="10" w:name="volume-purpose"/>
    <w:p>
      <w:pPr>
        <w:pStyle w:val="Heading2"/>
      </w:pPr>
      <w:r>
        <w:t xml:space="preserve">Volume purpose</w:t>
      </w:r>
    </w:p>
    <w:p>
      <w:pPr>
        <w:pStyle w:val="FirstParagraph"/>
      </w:pPr>
      <w:r>
        <w:t xml:space="preserve">Volumes I–IV establish the architecture as what must be true and why. Volume V addresses training and certification. Volume VI is the deployable counterpart: the infrastructure-as-code, detection rules, response playbooks, configuration baselines, and evidence wiring that actually stand the architecture up. Where an architecture book says a control is closed by a mechanism, the corresponding Volume VI book carries the artifact that deploys that mechanism.</w:t>
      </w:r>
    </w:p>
    <w:bookmarkEnd w:id="10"/>
    <w:bookmarkStart w:id="11" w:name="the-deploy-model"/>
    <w:p>
      <w:pPr>
        <w:pStyle w:val="Heading2"/>
      </w:pPr>
      <w:r>
        <w:t xml:space="preserve">The deploy model</w:t>
      </w:r>
    </w:p>
    <w:p>
      <w:pPr>
        <w:pStyle w:val="FirstParagraph"/>
      </w:pPr>
      <w:r>
        <w:t xml:space="preserve">Three principles govern every artifact: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Everything as code, applied through a pipeline.</w:t>
      </w:r>
      <w:r>
        <w:t xml:space="preserve"> </w:t>
      </w:r>
      <w:r>
        <w:t xml:space="preserve">No artifact is a click-path. Landing zones, policy, detection rules, and playbooks are declarative and applied through a change-controlled pipeline, so that the deployed state is reproducible, reviewable, and diffable against its intended state.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In-boundary by construction.</w:t>
      </w:r>
      <w:r>
        <w:t xml:space="preserve"> </w:t>
      </w:r>
      <w:r>
        <w:t xml:space="preserve">Every artifact that processes identity-attributed or behavioral telemetry runs inside the agency’s own authorized boundary. The moment an artifact ships that telemetry to an out-of-scope service for convenience, it recreates the very flow the boundary forbids.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Evidence-emitting by default.</w:t>
      </w:r>
      <w:r>
        <w:t xml:space="preserve"> </w:t>
      </w:r>
      <w:r>
        <w:t xml:space="preserve">An artifact that deploys a control but produces no machine-readable evidence of doing so has done half the job. Each artifact emits to the series evidence contract so that the continuous-monitoring pipeline can bind it to the control it closes.</w:t>
      </w:r>
    </w:p>
    <w:bookmarkEnd w:id="11"/>
    <w:bookmarkStart w:id="12" w:name="books-in-this-volume"/>
    <w:p>
      <w:pPr>
        <w:pStyle w:val="Heading2"/>
      </w:pPr>
      <w:r>
        <w:t xml:space="preserve">Books in this volume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88"/>
        <w:gridCol w:w="4356"/>
        <w:gridCol w:w="23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Deployable artifacts</w:t>
            </w:r>
          </w:p>
        </w:tc>
        <w:tc>
          <w:tcPr/>
          <w:p>
            <w:pPr>
              <w:pStyle w:val="Compact"/>
            </w:pPr>
            <w:r>
              <w:t xml:space="preserve">Implements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00</w:t>
            </w:r>
          </w:p>
        </w:tc>
        <w:tc>
          <w:tcPr/>
          <w:p>
            <w:pPr>
              <w:pStyle w:val="Compact"/>
            </w:pPr>
            <w:r>
              <w:t xml:space="preserve">Deploy model, in-boundary principle, evidence emission</w:t>
            </w:r>
          </w:p>
        </w:tc>
        <w:tc>
          <w:tcPr/>
          <w:p>
            <w:pPr>
              <w:pStyle w:val="Compact"/>
            </w:pPr>
            <w:r>
              <w:t xml:space="preserve">All volumes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01</w:t>
            </w:r>
          </w:p>
        </w:tc>
        <w:tc>
          <w:tcPr/>
          <w:p>
            <w:pPr>
              <w:pStyle w:val="Compact"/>
            </w:pPr>
            <w:r>
              <w:t xml:space="preserve">Landing zone and network as code</w:t>
            </w:r>
          </w:p>
        </w:tc>
        <w:tc>
          <w:tcPr/>
          <w:p>
            <w:pPr>
              <w:pStyle w:val="Compact"/>
            </w:pPr>
            <w:r>
              <w:t xml:space="preserve">Volume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02</w:t>
            </w:r>
          </w:p>
        </w:tc>
        <w:tc>
          <w:tcPr/>
          <w:p>
            <w:pPr>
              <w:pStyle w:val="Compact"/>
            </w:pPr>
            <w:r>
              <w:t xml:space="preserve">Identity and access as code</w:t>
            </w:r>
          </w:p>
        </w:tc>
        <w:tc>
          <w:tcPr/>
          <w:p>
            <w:pPr>
              <w:pStyle w:val="Compact"/>
            </w:pPr>
            <w:r>
              <w:t xml:space="preserve">Volume I identity, Volume III privileged access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03</w:t>
            </w:r>
          </w:p>
        </w:tc>
        <w:tc>
          <w:tcPr/>
          <w:p>
            <w:pPr>
              <w:pStyle w:val="Compact"/>
            </w:pPr>
            <w:r>
              <w:t xml:space="preserve">Detection engineering</w:t>
            </w:r>
          </w:p>
        </w:tc>
        <w:tc>
          <w:tcPr/>
          <w:p>
            <w:pPr>
              <w:pStyle w:val="Compact"/>
            </w:pPr>
            <w:r>
              <w:t xml:space="preserve">Volume III SIEM/XDR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04</w:t>
            </w:r>
          </w:p>
        </w:tc>
        <w:tc>
          <w:tcPr/>
          <w:p>
            <w:pPr>
              <w:pStyle w:val="Compact"/>
            </w:pPr>
            <w:r>
              <w:t xml:space="preserve">Response automation</w:t>
            </w:r>
          </w:p>
        </w:tc>
        <w:tc>
          <w:tcPr/>
          <w:p>
            <w:pPr>
              <w:pStyle w:val="Compact"/>
            </w:pPr>
            <w:r>
              <w:t xml:space="preserve">Volume III SIEM/XDR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05</w:t>
            </w:r>
          </w:p>
        </w:tc>
        <w:tc>
          <w:tcPr/>
          <w:p>
            <w:pPr>
              <w:pStyle w:val="Compact"/>
            </w:pPr>
            <w:r>
              <w:t xml:space="preserve">Data protection deployment</w:t>
            </w:r>
          </w:p>
        </w:tc>
        <w:tc>
          <w:tcPr/>
          <w:p>
            <w:pPr>
              <w:pStyle w:val="Compact"/>
            </w:pPr>
            <w:r>
              <w:t xml:space="preserve">Volume III data protection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06</w:t>
            </w:r>
          </w:p>
        </w:tc>
        <w:tc>
          <w:tcPr/>
          <w:p>
            <w:pPr>
              <w:pStyle w:val="Compact"/>
            </w:pPr>
            <w:r>
              <w:t xml:space="preserve">Configuration baselines and hardening</w:t>
            </w:r>
          </w:p>
        </w:tc>
        <w:tc>
          <w:tcPr/>
          <w:p>
            <w:pPr>
              <w:pStyle w:val="Compact"/>
            </w:pPr>
            <w:r>
              <w:t xml:space="preserve">Volume III posture and patch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07</w:t>
            </w:r>
          </w:p>
        </w:tc>
        <w:tc>
          <w:tcPr/>
          <w:p>
            <w:pPr>
              <w:pStyle w:val="Compact"/>
            </w:pPr>
            <w:r>
              <w:t xml:space="preserve">Evidence and continuous-monitoring pipeline</w:t>
            </w:r>
          </w:p>
        </w:tc>
        <w:tc>
          <w:tcPr/>
          <w:p>
            <w:pPr>
              <w:pStyle w:val="Compact"/>
            </w:pPr>
            <w:r>
              <w:t xml:space="preserve">Volume III evidence fabric, Volume IV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08</w:t>
            </w:r>
          </w:p>
        </w:tc>
        <w:tc>
          <w:tcPr/>
          <w:p>
            <w:pPr>
              <w:pStyle w:val="Compact"/>
            </w:pPr>
            <w:r>
              <w:t xml:space="preserve">Validation and test harnesses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</w:tr>
    </w:tbl>
    <w:bookmarkEnd w:id="12"/>
    <w:bookmarkStart w:id="13" w:name="closure-necessity"/>
    <w:p>
      <w:pPr>
        <w:pStyle w:val="Heading2"/>
      </w:pPr>
      <w:r>
        <w:t xml:space="preserve">Closure necessity</w:t>
      </w:r>
    </w:p>
    <w:p>
      <w:pPr>
        <w:pStyle w:val="FirstParagraph"/>
      </w:pPr>
      <w:r>
        <w:t xml:space="preserve">Volume VI does not claim to close controls the architecture volumes already claim. Its necessity is of a different kind: a control-closure claim that is not deployed as code, and does not emit evidence, is not assessable. The architecture volumes prove the mechanism is sufficient; this volume is what makes the closure demonstrable.</w:t>
      </w:r>
    </w:p>
    <w:bookmarkEnd w:id="13"/>
    <w:bookmarkStart w:id="14" w:name="what-this-volume-is-and-is-not"/>
    <w:p>
      <w:pPr>
        <w:pStyle w:val="Heading2"/>
      </w:pPr>
      <w:r>
        <w:t xml:space="preserve">What this volume is and is not</w:t>
      </w:r>
    </w:p>
    <w:p>
      <w:pPr>
        <w:pStyle w:val="FirstParagraph"/>
      </w:pPr>
      <w:r>
        <w:t xml:space="preserve">It is the agency-side build layer — the code and evidence that turn the architecture into an operating, assessable posture. It is not a claim that any single product is the only way to deploy the architecture: every artifact names a deployed example and preserves the substitution path, because the mechanism is the invariant. It is not a replacement for the operate-and-tune discipline: deployed detections rot, baselines drift, and sources silently stop emitting.</w:t>
      </w:r>
    </w:p>
    <w:bookmarkEnd w:id="14"/>
    <w:bookmarkStart w:id="15" w:name="where-evidence-lands"/>
    <w:p>
      <w:pPr>
        <w:pStyle w:val="Heading2"/>
      </w:pPr>
      <w:r>
        <w:t xml:space="preserve">Where evidence lands</w:t>
      </w:r>
    </w:p>
    <w:p>
      <w:pPr>
        <w:pStyle w:val="FirstParagraph"/>
      </w:pPr>
      <w:r>
        <w:t xml:space="preserve">The binding of this volume’s closures and evidence to a governance substrate is optional and separable. The volume stands complete at FedRAMP Moderate with no substrate engagement at all. Adopting a substrate adds machine-checked scoring and drift-gating on top of what is already closed, and can be adopted later — or never — without rework.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2026-10-19T10:10:33Z</dcterms:created>
  <dcterms:modified xsi:type="dcterms:W3CDTF">2026-10-19T10:10:33Z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