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Xc7bd2a316f3636c982b990041b8566808d95f5e"/>
    <w:p>
      <w:pPr>
        <w:pStyle w:val="Heading1"/>
      </w:pPr>
      <w:r>
        <w:t xml:space="preserve">Federal Compliance Series - Moderate — Volume VII: Automation</w:t>
      </w:r>
    </w:p>
    <w:p>
      <w:pPr>
        <w:pStyle w:val="FirstParagraph"/>
      </w:pPr>
      <w:r>
        <w:rPr>
          <w:b/>
          <w:bCs/>
        </w:rPr>
        <w:t xml:space="preserve">Volume purpose — the coordination layer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Volumes I–IV establish the architecture. Volume V covers training. Volume VI carries the deployable infrastructure-as-code, detection, and evidence artifacts. Volume VII is the coordination layer: the workflow, configuration management database, and governance-risk-compliance automation that turns control state into tracked tasks, reviewable change, machine-readable evidence, and authorization-package input. Where Volume VI deploys a control as code, Volume VII operates it — routing drift to an owner, gating change, and rolling posture up into the continuous-monitoring package.</w:t>
      </w:r>
    </w:p>
    <w:bookmarkEnd w:id="10"/>
    <w:bookmarkStart w:id="11" w:name="the-coordination-doctrine"/>
    <w:p>
      <w:pPr>
        <w:pStyle w:val="Heading2"/>
      </w:pPr>
      <w:r>
        <w:t xml:space="preserve">The coordination doctrine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Actuation is platform-native and non-negotiable.</w:t>
      </w:r>
      <w:r>
        <w:t xml:space="preserve"> </w:t>
      </w:r>
      <w:r>
        <w:t xml:space="preserve">The workflow platform does not patch a virtual machine, flip a conditional access policy, or rewrite a policy assignment as its primary job. It orchestrates who does, when, under what approval, and with what evidence.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and evidence are unified.</w:t>
      </w:r>
      <w:r>
        <w:t xml:space="preserve"> </w:t>
      </w:r>
      <w:r>
        <w:t xml:space="preserve">Every native surface emits its control state into one workflow-and-evidence system so that a single compliance picture, an approval trail, and an authorization-package feed exist.</w:t>
      </w:r>
    </w:p>
    <w:p>
      <w:pPr>
        <w:pStyle w:val="FirstParagraph"/>
      </w:pPr>
      <w:r>
        <w:rPr>
          <w:b/>
          <w:bCs/>
        </w:rPr>
        <w:t xml:space="preserve">Doctrine guardrail — the configuration management database reconciles to the naming plane; it does not replace it.</w:t>
      </w:r>
      <w:r>
        <w:t xml:space="preserve"> </w:t>
      </w:r>
      <w:r>
        <w:t xml:space="preserve">The configuration management database is a workflow projection of asset state, reconciled to the authoritative naming and addressing identity. Naming and addressing and the human-resources source of truth remain the truth planes; the configuration management database and the workflow are enforcement/coordination planes — depended on for routing and evidence, never for truth.</w:t>
      </w:r>
    </w:p>
    <w:bookmarkEnd w:id="11"/>
    <w:bookmarkStart w:id="12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2917"/>
        <w:gridCol w:w="25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00</w:t>
            </w:r>
          </w:p>
        </w:tc>
        <w:tc>
          <w:tcPr/>
          <w:p>
            <w:pPr>
              <w:pStyle w:val="Compact"/>
            </w:pPr>
            <w:r>
              <w:t xml:space="preserve">Volume Overview</w:t>
            </w:r>
          </w:p>
        </w:tc>
        <w:tc>
          <w:tcPr/>
          <w:p>
            <w:pPr>
              <w:pStyle w:val="Compact"/>
            </w:pPr>
            <w:r>
              <w:t xml:space="preserve">The coordination doctrine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CMDB Reconciliation &amp; Asset Identity</w:t>
            </w:r>
          </w:p>
        </w:tc>
        <w:tc>
          <w:tcPr/>
          <w:p>
            <w:pPr>
              <w:pStyle w:val="Compact"/>
            </w:pPr>
            <w:r>
              <w:t xml:space="preserve">Reconcile to the naming 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Cloud SaaS Control Compliance Automation</w:t>
            </w:r>
          </w:p>
        </w:tc>
        <w:tc>
          <w:tcPr/>
          <w:p>
            <w:pPr>
              <w:pStyle w:val="Compact"/>
            </w:pPr>
            <w:r>
              <w:t xml:space="preserve">Drift → change/incident/attestation tasks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Cloud IaaS/PaaS Control Compliance Automation</w:t>
            </w:r>
          </w:p>
        </w:tc>
        <w:tc>
          <w:tcPr/>
          <w:p>
            <w:pPr>
              <w:pStyle w:val="Compact"/>
            </w:pPr>
            <w:r>
              <w:t xml:space="preserve">Policy and update management → remediation tasks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Control Attestation, Evidence &amp; Key Security Indicator</w:t>
            </w:r>
          </w:p>
        </w:tc>
        <w:tc>
          <w:tcPr/>
          <w:p>
            <w:pPr>
              <w:pStyle w:val="Compact"/>
            </w:pPr>
            <w:r>
              <w:t xml:space="preserve">Control tests → structured package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05</w:t>
            </w:r>
          </w:p>
        </w:tc>
        <w:tc>
          <w:tcPr/>
          <w:p>
            <w:pPr>
              <w:pStyle w:val="Compact"/>
            </w:pPr>
            <w:r>
              <w:t xml:space="preserve">The Compliance App</w:t>
            </w:r>
          </w:p>
        </w:tc>
        <w:tc>
          <w:tcPr/>
          <w:p>
            <w:pPr>
              <w:pStyle w:val="Compact"/>
            </w:pPr>
            <w:r>
              <w:t xml:space="preserve">Deployable artifact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06</w:t>
            </w:r>
          </w:p>
        </w:tc>
        <w:tc>
          <w:tcPr/>
          <w:p>
            <w:pPr>
              <w:pStyle w:val="Compact"/>
            </w:pPr>
            <w:r>
              <w:t xml:space="preserve">Additional cloud control compliance automation</w:t>
            </w:r>
          </w:p>
        </w:tc>
        <w:tc>
          <w:tcPr/>
          <w:p>
            <w:pPr>
              <w:pStyle w:val="Compact"/>
            </w:pPr>
            <w:r>
              <w:t xml:space="preserve">Additional cloud surfaces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07</w:t>
            </w:r>
          </w:p>
        </w:tc>
        <w:tc>
          <w:tcPr/>
          <w:p>
            <w:pPr>
              <w:pStyle w:val="Compact"/>
            </w:pPr>
            <w:r>
              <w:t xml:space="preserve">Virtualization control compliance automation</w:t>
            </w:r>
          </w:p>
        </w:tc>
        <w:tc>
          <w:tcPr/>
          <w:p>
            <w:pPr>
              <w:pStyle w:val="Compact"/>
            </w:pPr>
            <w:r>
              <w:t xml:space="preserve">Virtualization surfaces</w:t>
            </w:r>
          </w:p>
        </w:tc>
      </w:tr>
    </w:tbl>
    <w:bookmarkEnd w:id="12"/>
    <w:bookmarkStart w:id="13" w:name="boundary-discipline"/>
    <w:p>
      <w:pPr>
        <w:pStyle w:val="Heading2"/>
      </w:pPr>
      <w:r>
        <w:t xml:space="preserve">Boundary discipline</w:t>
      </w:r>
    </w:p>
    <w:p>
      <w:pPr>
        <w:pStyle w:val="Compact"/>
        <w:numPr>
          <w:ilvl w:val="0"/>
          <w:numId w:val="1002"/>
        </w:numPr>
      </w:pPr>
      <w:r>
        <w:t xml:space="preserve">The coordination platform holds a higher authorization than the boundary it coordinates; the direction of the delta is conservative.</w:t>
      </w:r>
    </w:p>
    <w:p>
      <w:pPr>
        <w:pStyle w:val="Compact"/>
        <w:numPr>
          <w:ilvl w:val="0"/>
          <w:numId w:val="1002"/>
        </w:numPr>
      </w:pPr>
      <w:r>
        <w:t xml:space="preserve">Any callout that reaches an agency surface runs through a connector registered inside the authorization boundary.</w:t>
      </w:r>
    </w:p>
    <w:p>
      <w:pPr>
        <w:pStyle w:val="Compact"/>
        <w:numPr>
          <w:ilvl w:val="0"/>
          <w:numId w:val="1002"/>
        </w:numPr>
      </w:pPr>
      <w:r>
        <w:t xml:space="preserve">Least-privilege service identity. The platform reaches cloud services through a scoped, auditable identity with only the permissions the coordination role needs.</w:t>
      </w:r>
    </w:p>
    <w:bookmarkEnd w:id="13"/>
    <w:bookmarkStart w:id="14" w:name="platform-optionality"/>
    <w:p>
      <w:pPr>
        <w:pStyle w:val="Heading2"/>
      </w:pPr>
      <w:r>
        <w:t xml:space="preserve">Platform optionality</w:t>
      </w:r>
    </w:p>
    <w:p>
      <w:pPr>
        <w:pStyle w:val="FirstParagraph"/>
      </w:pPr>
      <w:r>
        <w:t xml:space="preserve">What this volume requires is the coordination contract, not a product: drift routed to a named owner, change gated by an approval record, actuation under least-privilege service identity, and machine-readable evidence emitted for the authorization package — with the configuration-management-database-reconciles-to-naming-plane guardrail holding throughout. The recommended platform is one realization of that contract. An agency on a different stack satisfies the same contract by another authorized workflow platform or a composed pipeline, so long as all four contract properties and the reconciliation guardrail demonstrably hold.</w:t>
      </w:r>
    </w:p>
    <w:bookmarkEnd w:id="14"/>
    <w:bookmarkStart w:id="15" w:name="closure-necessity"/>
    <w:p>
      <w:pPr>
        <w:pStyle w:val="Heading2"/>
      </w:pPr>
      <w:r>
        <w:t xml:space="preserve">Closure necessity</w:t>
      </w:r>
    </w:p>
    <w:p>
      <w:pPr>
        <w:pStyle w:val="FirstParagraph"/>
      </w:pPr>
      <w:r>
        <w:t xml:space="preserve">Volume VII does not claim to close controls the architecture and implementation volumes already close. Its necessity is of the same kind Volume VI carries, one plane further out: a control-closure claim with no owner, no change gate, no service-level agreement clock, and no evidence feed is not an operating control — it is a hope.</w:t>
      </w:r>
    </w:p>
    <w:bookmarkEnd w:id="15"/>
    <w:bookmarkStart w:id="16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2026-10-19T10:10:33Z</dcterms:created>
  <dcterms:modified xsi:type="dcterms:W3CDTF">2026-10-19T10:10:33Z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