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Xaf29b0c2459a4d689684de2a5167d22d3511b4e"/>
    <w:p>
      <w:pPr>
        <w:pStyle w:val="Heading1"/>
      </w:pPr>
      <w:r>
        <w:t xml:space="preserve">Federal Compliance Series - Moderate — Volume X: Governance-Substrate Integration</w:t>
      </w:r>
    </w:p>
    <w:p>
      <w:pPr>
        <w:pStyle w:val="FirstParagraph"/>
      </w:pPr>
      <w:r>
        <w:rPr>
          <w:b/>
          <w:bCs/>
        </w:rPr>
        <w:t xml:space="preserve">Volume purpose — how the series’ evidence binds to a governance substrate</w:t>
      </w:r>
    </w:p>
    <w:bookmarkStart w:id="9" w:name="draft-posture"/>
    <w:p>
      <w:pPr>
        <w:pStyle w:val="Heading2"/>
      </w:pPr>
      <w:r>
        <w:t xml:space="preserve">Draft posture</w:t>
      </w:r>
    </w:p>
    <w:p>
      <w:pPr>
        <w:pStyle w:val="FirstParagraph"/>
      </w:pPr>
      <w:r>
        <w:t xml:space="preserve">This document is a draft proposal. It has not been reviewed or approved by the agency CIO Office, the Office of Information Security, or organizational leadership.</w:t>
      </w:r>
    </w:p>
    <w:bookmarkEnd w:id="9"/>
    <w:bookmarkStart w:id="10" w:name="volume-purpose"/>
    <w:p>
      <w:pPr>
        <w:pStyle w:val="Heading2"/>
      </w:pPr>
      <w:r>
        <w:t xml:space="preserve">Volume purpose</w:t>
      </w:r>
    </w:p>
    <w:p>
      <w:pPr>
        <w:pStyle w:val="FirstParagraph"/>
      </w:pPr>
      <w:r>
        <w:t xml:space="preserve">Volumes I–IV establish the architecture. Volume V addresses training. Volume VI carries the deployable artifacts. Volumes VII–IX carry the coordination, multi-cloud naming, and day-2 operations layers. Volume X is the integration layer: it explains how everything the earlier volumes produce becomes machine-checked evidence on a governance substrate — a vertical-agnostic engine that maps this series’ artifacts to a fixed set of control-plane surface slots, scores them as Key Security Indicators, and gates them against drift. Where an architecture book says a control is closed, this volume shows where that closure lands on the substrate and how it stays honest.</w:t>
      </w:r>
    </w:p>
    <w:bookmarkEnd w:id="10"/>
    <w:bookmarkStart w:id="11" w:name="the-substrate-premise"/>
    <w:p>
      <w:pPr>
        <w:pStyle w:val="Heading2"/>
      </w:pPr>
      <w:r>
        <w:t xml:space="preserve">The substrate premise</w:t>
      </w:r>
    </w:p>
    <w:p>
      <w:pPr>
        <w:pStyle w:val="BlockText"/>
      </w:pPr>
      <w:r>
        <w:t xml:space="preserve">The compliance regime is not the engine. Federal compliance — the NIST SP 800-53 baseline, the FedRAMP 20x Key Security Indicators, the authorization-package machinery — is one vertical layered on a governance substrate that makes no assumption about compliance regime, sector, or jurisdiction. The substrate governs identity, addressing, telemetry, policy, and enforcement as functions. A regime is a crosswalk laid over those functions.</w:t>
      </w:r>
    </w:p>
    <w:p>
      <w:pPr>
        <w:pStyle w:val="FirstParagraph"/>
      </w:pPr>
      <w:r>
        <w:t xml:space="preserve">That separation is what lets this series be honest about its own scope. The architecture volumes argue from control text, physics, and protocol behavior — claims that are true regardless of which engine scores them. The substrate is what turns those claims into continuously-checked evidence.</w:t>
      </w:r>
    </w:p>
    <w:bookmarkEnd w:id="11"/>
    <w:bookmarkStart w:id="12" w:name="the-surface-slot-binding"/>
    <w:p>
      <w:pPr>
        <w:pStyle w:val="Heading2"/>
      </w:pPr>
      <w:r>
        <w:t xml:space="preserve">The surface-slot binding</w:t>
      </w:r>
    </w:p>
    <w:p>
      <w:pPr>
        <w:pStyle w:val="FirstParagraph"/>
      </w:pPr>
      <w:r>
        <w:t xml:space="preserve">The substrate exposes a small, fixed set of control-plane surface slots — regime-agnostic anchors, each a place where evidence of a particular kind lands. The conformance layer maps this series’ artifacts onto those slots.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10"/>
        <w:gridCol w:w="550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Surface slot</w:t>
            </w:r>
          </w:p>
        </w:tc>
        <w:tc>
          <w:tcPr/>
          <w:p>
            <w:pPr>
              <w:pStyle w:val="Compact"/>
            </w:pPr>
            <w:r>
              <w:t xml:space="preserve">Series content that binds here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Certificates and tokens, human-resources identity, privileged access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Addressing</w:t>
            </w:r>
          </w:p>
        </w:tc>
        <w:tc>
          <w:tcPr/>
          <w:p>
            <w:pPr>
              <w:pStyle w:val="Compact"/>
            </w:pPr>
            <w:r>
              <w:t xml:space="preserve">Landing zone, naming and addressing plane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Network access control, telecommunications modernization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Detection, evidence fabric, continuous monitoring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posture, patch and systems management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Data protection, change management, supply chain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Continuity</w:t>
            </w:r>
          </w:p>
        </w:tc>
        <w:tc>
          <w:tcPr/>
          <w:p>
            <w:pPr>
              <w:pStyle w:val="Compact"/>
            </w:pPr>
            <w:r>
              <w:t xml:space="preserve">Business continuity, recovery, day-2 operations</w:t>
            </w:r>
          </w:p>
        </w:tc>
      </w:tr>
    </w:tbl>
    <w:p>
      <w:pPr>
        <w:pStyle w:val="BodyText"/>
      </w:pPr>
      <w:r>
        <w:t xml:space="preserve">Slots are functions, not products. The slot is the invariant; the product is the substitution.</w:t>
      </w:r>
    </w:p>
    <w:bookmarkEnd w:id="12"/>
    <w:bookmarkStart w:id="13" w:name="the-single-source-of-truth"/>
    <w:p>
      <w:pPr>
        <w:pStyle w:val="Heading2"/>
      </w:pPr>
      <w:r>
        <w:t xml:space="preserve">The single source of truth</w:t>
      </w:r>
    </w:p>
    <w:p>
      <w:pPr>
        <w:pStyle w:val="FirstParagraph"/>
      </w:pPr>
      <w:r>
        <w:t xml:space="preserve">A crosswalk that is hand-typed drifts the moment a book changes. The substrate binding avoids that failure: one source of truth, everything else generated and gated. The series’ control closures live in a single compliance spine. From that spine, generators render every derived artifact: per-book authorities tables, the series control crosswalk, and the claim-to-evidence-to-test traceability matrix. Each generator ships with a drift gate.</w:t>
      </w:r>
    </w:p>
    <w:bookmarkEnd w:id="13"/>
    <w:bookmarkStart w:id="14" w:name="separable-adoption"/>
    <w:p>
      <w:pPr>
        <w:pStyle w:val="Heading2"/>
      </w:pPr>
      <w:r>
        <w:t xml:space="preserve">Separable adoption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series stands alone.</w:t>
      </w:r>
      <w:r>
        <w:t xml:space="preserve"> </w:t>
      </w:r>
      <w:r>
        <w:t xml:space="preserve">Volumes 0–IX close their controls and produce their evidence at FedRAMP Moderate with no substrate engagement at all.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substrate binding is additive and late-bindable.</w:t>
      </w:r>
      <w:r>
        <w:t xml:space="preserve"> </w:t>
      </w:r>
      <w:r>
        <w:t xml:space="preserve">Adopting the substrate adds machine-checked scoring, drift-gating, and the evidence contract on top of closures that already exist. Nothing in Volumes 0–IX has to be reworked to bind later.</w:t>
      </w:r>
    </w:p>
    <w:bookmarkEnd w:id="14"/>
    <w:bookmarkStart w:id="15" w:name="where-evidence-lands"/>
    <w:p>
      <w:pPr>
        <w:pStyle w:val="Heading2"/>
      </w:pPr>
      <w:r>
        <w:t xml:space="preserve">Where evidence lands</w:t>
      </w:r>
    </w:p>
    <w:p>
      <w:pPr>
        <w:pStyle w:val="FirstParagraph"/>
      </w:pPr>
      <w:r>
        <w:t xml:space="preserve">This volume is itself the documentation of where evidence lands. The binding is optional and separable. The series stands complete at FedRAMP Moderate with no substrate engagement at all.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2026-10-19T10:10:33Z</dcterms:created>
  <dcterms:modified xsi:type="dcterms:W3CDTF">2026-10-19T10:10:33Z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