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Federal Compliance Series</w:t>
      </w:r>
    </w:p>
    <w:p>
      <w:pPr>
        <w:pStyle w:val="Subtitle"/>
      </w:pPr>
      <w:r>
        <w:t xml:space="preserve">An eleven-volume, 60-book FedRAMP Moderate compliance program — the federal edition, generic to any agency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41" w:name="federal-compliance-series"/>
    <w:p>
      <w:pPr>
        <w:pStyle w:val="Heading1"/>
      </w:pPr>
      <w:r>
        <w:t xml:space="preserve">Federal Compliance Series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Federal Compliance</w:t>
      </w:r>
      <w:r>
        <w:t xml:space="preserve"> </w:t>
      </w:r>
      <w:r>
        <w:t xml:space="preserve">is an eleven-volume, 60-book program</w:t>
      </w:r>
      <w:r>
        <w:t xml:space="preserve"> </w:t>
      </w:r>
      <w:r>
        <w:t xml:space="preserve">covering the network, identity, data-platform, security-operations, governance,</w:t>
      </w:r>
      <w:r>
        <w:t xml:space="preserve"> </w:t>
      </w:r>
      <w:r>
        <w:t xml:space="preserve">training, ServiceNow-automation, multi-cloud DDI, and day-2 architecture required</w:t>
      </w:r>
      <w:r>
        <w:t xml:space="preserve"> </w:t>
      </w:r>
      <w:r>
        <w:t xml:space="preserve">for</w:t>
      </w:r>
      <w:r>
        <w:t xml:space="preserve"> </w:t>
      </w:r>
      <w:r>
        <w:rPr>
          <w:b/>
          <w:bCs/>
        </w:rPr>
        <w:t xml:space="preserve">FedRAMP Moderate</w:t>
      </w:r>
      <w:r>
        <w:t xml:space="preserve"> </w:t>
      </w:r>
      <w:r>
        <w:t xml:space="preserve">authorization under FedRAMP 20x rules (mandatory</w:t>
      </w:r>
      <w:r>
        <w:t xml:space="preserve"> </w:t>
      </w:r>
      <w:r>
        <w:t xml:space="preserve">January 1, 2027).</w:t>
      </w:r>
    </w:p>
    <w:bookmarkStart w:id="14" w:name="pillars"/>
    <w:p>
      <w:pPr>
        <w:pStyle w:val="Heading2"/>
      </w:pPr>
      <w:r>
        <w:t xml:space="preserve">How Compliance and OrgMod relate</w:t>
      </w:r>
    </w:p>
    <w:p>
      <w:pPr>
        <w:pStyle w:val="FirstParagraph"/>
      </w:pPr>
      <w:r>
        <w:rPr>
          <w:b/>
          <w:bCs/>
        </w:rPr>
        <w:t xml:space="preserve">Compliance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OrgMod</w:t>
      </w:r>
      <w:r>
        <w:t xml:space="preserve"> </w:t>
      </w:r>
      <w:r>
        <w:t xml:space="preserve">are two operational</w:t>
      </w:r>
      <w:r>
        <w:t xml:space="preserve"> </w:t>
      </w:r>
      <w:r>
        <w:t xml:space="preserve">expressions of one governance substrate —</w:t>
      </w:r>
      <w:r>
        <w:t xml:space="preserve"> </w:t>
      </w:r>
      <w:r>
        <w:rPr>
          <w:b/>
          <w:bCs/>
        </w:rPr>
        <w:t xml:space="preserve">Compliance</w:t>
      </w:r>
      <w:r>
        <w:t xml:space="preserve"> </w:t>
      </w:r>
      <w:r>
        <w:t xml:space="preserve">proves federal organizational compliance,</w:t>
      </w:r>
      <w:r>
        <w:t xml:space="preserve"> </w:t>
      </w:r>
      <w:r>
        <w:rPr>
          <w:b/>
          <w:bCs/>
        </w:rPr>
        <w:t xml:space="preserve">OrgMod</w:t>
      </w:r>
      <w:r>
        <w:t xml:space="preserve"> </w:t>
      </w:r>
      <w:r>
        <w:t xml:space="preserve">modernizes — and both</w:t>
      </w:r>
      <w:r>
        <w:t xml:space="preserve"> </w:t>
      </w:r>
      <w:r>
        <w:t xml:space="preserve">are designed to be adopted</w:t>
      </w:r>
      <w:r>
        <w:t xml:space="preserve"> </w:t>
      </w:r>
      <w:r>
        <w:rPr>
          <w:b/>
          <w:bCs/>
        </w:rPr>
        <w:t xml:space="preserve">together or entirely independently</w:t>
      </w:r>
      <w:r>
        <w:t xml:space="preserve">.</w:t>
      </w:r>
      <w:r>
        <w:t xml:space="preserve"> </w:t>
      </w:r>
      <w:r>
        <w:t xml:space="preserve">Compliance’s independence is structural, not aspirational: the series speaks</w:t>
      </w:r>
      <w:r>
        <w:t xml:space="preserve"> </w:t>
      </w:r>
      <w:r>
        <w:t xml:space="preserve">only to the open Evidence &amp; Authorization Contract, so it stands alone</w:t>
      </w:r>
      <w:r>
        <w:t xml:space="preserve"> </w:t>
      </w:r>
      <w:r>
        <w:t xml:space="preserve">without OrgMod or any particular engine behind it.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Formerly the</w:t>
            </w:r>
            <w:r>
              <w:t xml:space="preserve"> </w:t>
            </w:r>
            <w:r>
              <w:t xml:space="preserve">“Federal Compliance AAN Series”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AAN — Application-Aware Networking — was the program’s original naming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concept</w:t>
            </w:r>
            <w:r>
              <w:t xml:space="preserve">, born in the network-modernization work where the series began. As</w:t>
            </w:r>
            <w:r>
              <w:t xml:space="preserve"> </w:t>
            </w:r>
            <w:r>
              <w:t xml:space="preserve">FedRAMP 20x made continuous evidence mandatory, the program grew into this</w:t>
            </w:r>
            <w:r>
              <w:t xml:space="preserve"> </w:t>
            </w:r>
            <w:r>
              <w:t xml:space="preserve">site’s compliance pillar, and its name now reflects that role. File paths and</w:t>
            </w:r>
            <w:r>
              <w:t xml:space="preserve"> </w:t>
            </w:r>
            <w:r>
              <w:t xml:space="preserve">URLs retain the historical</w:t>
            </w:r>
            <w:r>
              <w:t xml:space="preserve"> </w:t>
            </w:r>
            <w:r>
              <w:rPr>
                <w:rStyle w:val="VerbatimChar"/>
              </w:rPr>
              <w:t xml:space="preserve">aan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Compliance</w:t>
            </w:r>
            <w:r>
              <w:t xml:space="preserve"> </w:t>
            </w:r>
            <w:r>
              <w:t xml:space="preserve">names so existing links keep</w:t>
            </w:r>
            <w:r>
              <w:t xml:space="preserve"> </w:t>
            </w:r>
            <w:r>
              <w:t xml:space="preserve">working; application-aware networking itself remains a technical subject of</w:t>
            </w:r>
            <w:r>
              <w:t xml:space="preserve"> </w:t>
            </w:r>
            <w:r>
              <w:t xml:space="preserve">Vol I, unchanged.</w:t>
            </w:r>
          </w:p>
          <w:p/>
        </w:tc>
      </w:tr>
    </w:tbl>
    <w:p>
      <w:pPr>
        <w:pStyle w:val="BodyText"/>
      </w:pPr>
      <w:r>
        <w:t xml:space="preserve">Start with the</w:t>
      </w:r>
      <w:r>
        <w:t xml:space="preserve"> </w:t>
      </w:r>
      <w:hyperlink r:id="rId12">
        <w:r>
          <w:rPr>
            <w:rStyle w:val="Hyperlink"/>
            <w:b/>
            <w:bCs/>
          </w:rPr>
          <w:t xml:space="preserve">two-page Executive Brief</w:t>
        </w:r>
      </w:hyperlink>
      <w:r>
        <w:t xml:space="preserve">,</w:t>
      </w:r>
      <w:r>
        <w:t xml:space="preserve"> </w:t>
      </w:r>
      <w:r>
        <w:t xml:space="preserve">then the</w:t>
      </w:r>
      <w:r>
        <w:t xml:space="preserve"> </w:t>
      </w:r>
      <w:hyperlink r:id="rId13">
        <w:r>
          <w:rPr>
            <w:rStyle w:val="Hyperlink"/>
            <w:b/>
            <w:bCs/>
          </w:rPr>
          <w:t xml:space="preserve">Executive Summary and control compendium</w:t>
        </w:r>
      </w:hyperlink>
      <w:r>
        <w:t xml:space="preserve">.</w:t>
      </w:r>
      <w:r>
        <w:t xml:space="preserve"> </w:t>
      </w:r>
      <w:r>
        <w:t xml:space="preserve">Every book is browsable here and carries a Word download button.</w:t>
      </w:r>
    </w:p>
    <w:p>
      <w:pPr>
        <w:pStyle w:val="BodyText"/>
      </w:pPr>
      <w:r>
        <w:t xml:space="preserve">The series is engine-neutral by design: wherever a book needs evidence or</w:t>
      </w:r>
      <w:r>
        <w:t xml:space="preserve"> </w:t>
      </w:r>
      <w:r>
        <w:t xml:space="preserve">authorization tooling, it speaks to the</w:t>
      </w:r>
      <w:r>
        <w:t xml:space="preserve"> </w:t>
      </w:r>
      <w:r>
        <w:rPr>
          <w:b/>
          <w:bCs/>
        </w:rPr>
        <w:t xml:space="preserve">Compliance Evidence &amp; Authorization Contract</w:t>
      </w:r>
      <w:r>
        <w:t xml:space="preserve"> </w:t>
      </w:r>
      <w:r>
        <w:t xml:space="preserve">—</w:t>
      </w:r>
      <w:r>
        <w:t xml:space="preserve"> </w:t>
      </w:r>
      <w:r>
        <w:t xml:space="preserve">the open specification (compliance spine + eight evidence slots + OSCAL</w:t>
      </w:r>
      <w:r>
        <w:t xml:space="preserve"> </w:t>
      </w:r>
      <w:r>
        <w:t xml:space="preserve">AP/AR/POA&amp;M boundary) that any conformant evidence engine can satisfy.</w:t>
      </w:r>
    </w:p>
    <w:bookmarkEnd w:id="14"/>
    <w:bookmarkStart w:id="18" w:name="three-ways-in"/>
    <w:p>
      <w:pPr>
        <w:pStyle w:val="Heading2"/>
      </w:pPr>
      <w:r>
        <w:t xml:space="preserve">Three ways in</w:t>
      </w:r>
    </w:p>
    <w:p>
      <w:pPr>
        <w:pStyle w:val="FirstParagraph"/>
      </w:pPr>
      <w:r>
        <w:t xml:space="preserve">Pick the entry point that matches your role — the full eleven volumes will</w:t>
      </w:r>
      <w:r>
        <w:t xml:space="preserve"> </w:t>
      </w:r>
      <w:r>
        <w:t xml:space="preserve">still be there: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Entry point</w:t>
            </w:r>
          </w:p>
        </w:tc>
        <w:tc>
          <w:tcPr/>
          <w:p>
            <w:pPr>
              <w:pStyle w:val="Compact"/>
            </w:pPr>
            <w:r>
              <w:t xml:space="preserve">For</w:t>
            </w:r>
          </w:p>
        </w:tc>
        <w:tc>
          <w:tcPr/>
          <w:p>
            <w:pPr>
              <w:pStyle w:val="Compact"/>
            </w:pPr>
            <w:r>
              <w:t xml:space="preserve">Start here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Executive Brief</w:t>
            </w:r>
          </w:p>
        </w:tc>
        <w:tc>
          <w:tcPr/>
          <w:p>
            <w:pPr>
              <w:pStyle w:val="Compact"/>
            </w:pPr>
            <w:r>
              <w:t xml:space="preserve">Leadership, sponsors, procurement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two-page Executive Brief</w:t>
              </w:r>
            </w:hyperlink>
            <w:r>
              <w:t xml:space="preserve">, then the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Executive Summary</w:t>
              </w:r>
            </w:hyperlink>
            <w:r>
              <w:t xml:space="preserve"> </w:t>
            </w:r>
            <w:r>
              <w:t xml:space="preserve">and the</w:t>
            </w:r>
            <w:r>
              <w:t xml:space="preserve"> </w:t>
            </w:r>
            <w:hyperlink r:id="rId15">
              <w:r>
                <w:rPr>
                  <w:rStyle w:val="Hyperlink"/>
                </w:rPr>
                <w:t xml:space="preserve">Product Inventory Questionnaire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Practitioner Quickstart</w:t>
            </w:r>
          </w:p>
        </w:tc>
        <w:tc>
          <w:tcPr/>
          <w:p>
            <w:pPr>
              <w:pStyle w:val="Compact"/>
            </w:pPr>
            <w:r>
              <w:t xml:space="preserve">ISSOs and engineers who need the working core first</w:t>
            </w:r>
          </w:p>
        </w:tc>
        <w:tc>
          <w:tcPr/>
          <w:p>
            <w:pPr>
              <w:pStyle w:val="Compact"/>
            </w:pPr>
            <w:r>
              <w:t xml:space="preserve">The training program’s Core Compliance Pathway (nine-book spine + four labs), the</w:t>
            </w:r>
            <w:r>
              <w:t xml:space="preserve"> </w:t>
            </w:r>
            <w:r>
              <w:rPr>
                <w:rStyle w:val="VerbatimChar"/>
              </w:rPr>
              <w:t xml:space="preserve">&lt;engine&gt;</w:t>
            </w:r>
            <w:r>
              <w:t xml:space="preserve"> </w:t>
            </w:r>
            <w:r>
              <w:t xml:space="preserve">tooling note, and the deployable kits —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ServiceNow compliance app</w:t>
              </w:r>
            </w:hyperlink>
            <w:r>
              <w:t xml:space="preserve"> </w:t>
            </w:r>
            <w:r>
              <w:t xml:space="preserve">and the Day-2 catalog (Vol IX) — via the Downloads page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Full Academy</w:t>
            </w:r>
          </w:p>
        </w:tc>
        <w:tc>
          <w:tcPr/>
          <w:p>
            <w:pPr>
              <w:pStyle w:val="Compact"/>
            </w:pPr>
            <w:r>
              <w:t xml:space="preserve">Anyone pursuing the credentials</w:t>
            </w:r>
          </w:p>
        </w:tc>
        <w:tc>
          <w:tcPr/>
          <w:p>
            <w:pPr>
              <w:pStyle w:val="Compact"/>
            </w:pPr>
            <w:hyperlink r:id="rId17">
              <w:r>
                <w:rPr>
                  <w:rStyle w:val="Hyperlink"/>
                </w:rPr>
                <w:t xml:space="preserve">Vol V — Training &amp; Certification</w:t>
              </w:r>
            </w:hyperlink>
            <w:r>
              <w:t xml:space="preserve"> </w:t>
            </w:r>
            <w:r>
              <w:t xml:space="preserve">and the two-track Compliance Training Program with its capstones and rubrics</w:t>
            </w:r>
          </w:p>
        </w:tc>
      </w:tr>
    </w:tbl>
    <w:bookmarkEnd w:id="18"/>
    <w:bookmarkStart w:id="27" w:name="macdr"/>
    <w:p>
      <w:pPr>
        <w:pStyle w:val="Heading2"/>
      </w:pPr>
      <w:r>
        <w:t xml:space="preserve">One lifecycle, two pillars</w:t>
      </w:r>
    </w:p>
    <w:p>
      <w:pPr>
        <w:pStyle w:val="FirstParagraph"/>
      </w:pPr>
      <w:r>
        <w:t xml:space="preserve">Every operational change the substrate touches — every</w:t>
      </w:r>
      <w:r>
        <w:t xml:space="preserve"> </w:t>
      </w:r>
      <w:r>
        <w:rPr>
          <w:b/>
          <w:bCs/>
        </w:rPr>
        <w:t xml:space="preserve">Move, Add, Change,</w:t>
      </w:r>
      <w:r>
        <w:rPr>
          <w:b/>
          <w:bCs/>
        </w:rPr>
        <w:t xml:space="preserve"> </w:t>
      </w:r>
      <w:r>
        <w:rPr>
          <w:b/>
          <w:bCs/>
        </w:rPr>
        <w:t xml:space="preserve">Deletion, and Reset (MACD-R)</w:t>
      </w:r>
      <w:r>
        <w:t xml:space="preserve"> </w:t>
      </w:r>
      <w:r>
        <w:t xml:space="preserve">— travels the same five-clause authorized</w:t>
      </w:r>
      <w:r>
        <w:t xml:space="preserve"> </w:t>
      </w:r>
      <w:r>
        <w:t xml:space="preserve">path:</w:t>
      </w:r>
      <w:r>
        <w:t xml:space="preserve"> </w:t>
      </w:r>
      <w:r>
        <w:rPr>
          <w:b/>
          <w:bCs/>
        </w:rPr>
        <w:t xml:space="preserve">it originates with the SSOT → carries an authoritative authorization</w:t>
      </w:r>
      <w:r>
        <w:rPr>
          <w:b/>
          <w:bCs/>
        </w:rPr>
        <w:t xml:space="preserve"> </w:t>
      </w:r>
      <w:r>
        <w:rPr>
          <w:b/>
          <w:bCs/>
        </w:rPr>
        <w:t xml:space="preserve">→ executes under least privilege with just-in-time elevation (PIM) → closes</w:t>
      </w:r>
      <w:r>
        <w:rPr>
          <w:b/>
          <w:bCs/>
        </w:rPr>
        <w:t xml:space="preserve"> </w:t>
      </w:r>
      <w:r>
        <w:rPr>
          <w:b/>
          <w:bCs/>
        </w:rPr>
        <w:t xml:space="preserve">with provenance → emits verified, secured evidence automatically to</w:t>
      </w:r>
      <w:r>
        <w:rPr>
          <w:b/>
          <w:bCs/>
        </w:rPr>
        <w:t xml:space="preserve"> </w:t>
      </w:r>
      <w:r>
        <w:rPr>
          <w:b/>
          <w:bCs/>
        </w:rPr>
        <w:t xml:space="preserve">continuous monitoring.</w:t>
      </w:r>
      <w:r>
        <w:t xml:space="preserve"> </w:t>
      </w:r>
      <w:r>
        <w:t xml:space="preserve">Compliance applies the law to control remediation and</w:t>
      </w:r>
      <w:r>
        <w:t xml:space="preserve"> </w:t>
      </w:r>
      <w:r>
        <w:t xml:space="preserve">attestation: drift against the compliance spine originates the work, the</w:t>
      </w:r>
      <w:r>
        <w:t xml:space="preserve"> </w:t>
      </w:r>
      <w:r>
        <w:t xml:space="preserve">day-2 lanes carry the authorization and elevation discipline, and the</w:t>
      </w:r>
      <w:r>
        <w:t xml:space="preserve"> </w:t>
      </w:r>
      <w:r>
        <w:t xml:space="preserve">closure stream is what the attestation pipeline (Vol VII Book 04) lifts</w:t>
      </w:r>
      <w:r>
        <w:t xml:space="preserve"> </w:t>
      </w:r>
      <w:r>
        <w:t xml:space="preserve">into OSCAL and KSI evidence. Clause 1 is answered per object class by the</w:t>
      </w:r>
      <w:r>
        <w:t xml:space="preserve"> </w:t>
      </w:r>
      <w:hyperlink r:id="rId19">
        <w:r>
          <w:rPr>
            <w:rStyle w:val="Hyperlink"/>
            <w:b/>
            <w:bCs/>
          </w:rPr>
          <w:t xml:space="preserve">SSOT Registry</w:t>
        </w:r>
      </w:hyperlink>
      <w:r>
        <w:t xml:space="preserve"> </w:t>
      </w:r>
      <w:r>
        <w:t xml:space="preserve">— one designated source of truth for every class including the non-human</w:t>
      </w:r>
      <w:r>
        <w:t xml:space="preserve"> </w:t>
      </w:r>
      <w:r>
        <w:t xml:space="preserve">ones (service accounts, devices, AI systems, declared infrastructure),</w:t>
      </w:r>
      <w:r>
        <w:t xml:space="preserve"> </w:t>
      </w:r>
      <w:r>
        <w:t xml:space="preserve">each anchored to a human owner resolvable in the HR SSOT. The doctrine —</w:t>
      </w:r>
      <w:r>
        <w:t xml:space="preserve"> </w:t>
      </w:r>
      <w:r>
        <w:t xml:space="preserve">including Closure Provenance (</w:t>
      </w:r>
      <w:r>
        <w:t xml:space="preserve">“no closure counts unless it carries its</w:t>
      </w:r>
      <w:r>
        <w:t xml:space="preserve"> </w:t>
      </w:r>
      <w:r>
        <w:t xml:space="preserve">proof”</w:t>
      </w:r>
      <w:r>
        <w:t xml:space="preserve">) — is stated in</w:t>
      </w:r>
      <w:r>
        <w:t xml:space="preserve"> </w:t>
      </w:r>
      <w:hyperlink r:id="rId20">
        <w:r>
          <w:rPr>
            <w:rStyle w:val="Hyperlink"/>
          </w:rPr>
          <w:t xml:space="preserve">Vol 0 Book 00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hyperlink r:id="rId24">
              <w:r>
                <w:rPr>
                  <w:rStyle w:val="Hyperlink"/>
                  <w:b/>
                  <w:bCs/>
                </w:rPr>
                <w:t xml:space="preserve">federal-compliance-series-bundle.docx</w:t>
              </w:r>
            </w:hyperlink>
            <w:r>
              <w:t xml:space="preserve"> </w:t>
            </w:r>
            <w:r>
              <w:t xml:space="preserve">— every book</w:t>
            </w:r>
            <w:r>
              <w:t xml:space="preserve"> </w:t>
            </w:r>
            <w:r>
              <w:t xml:space="preserve">and training-academy page concatenated into one Word document.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the complete kit — one</w:t>
            </w:r>
            <w:r>
              <w:t xml:space="preserve"> </w:t>
            </w:r>
            <w:r>
              <w:rPr>
                <w:rStyle w:val="VerbatimChar"/>
              </w:rPr>
              <w:t xml:space="preserve">.docx</w:t>
            </w:r>
            <w:r>
              <w:t xml:space="preserve"> </w:t>
            </w:r>
            <w:r>
              <w:t xml:space="preserve">volume bundle per volume plus every book as</w:t>
            </w:r>
            <w:r>
              <w:t xml:space="preserve"> </w:t>
            </w:r>
            <w:r>
              <w:rPr>
                <w:rStyle w:val="VerbatimChar"/>
              </w:rPr>
              <w:t xml:space="preserve">.pptx</w:t>
            </w:r>
            <w:r>
              <w:t xml:space="preserve">, per-volume folders, plus the deployable operator kits — see</w:t>
            </w:r>
            <w:r>
              <w:t xml:space="preserve"> </w:t>
            </w:r>
            <w:r>
              <w:rPr>
                <w:b/>
                <w:bCs/>
              </w:rPr>
              <w:t xml:space="preserve">the Downloads page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editions, one 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the</w:t>
            </w:r>
            <w:r>
              <w:t xml:space="preserve"> </w:t>
            </w:r>
            <w:r>
              <w:rPr>
                <w:b/>
                <w:bCs/>
              </w:rPr>
              <w:t xml:space="preserve">federal edition</w:t>
            </w:r>
            <w:r>
              <w:t xml:space="preserve">: written for any federal agency, with no agency</w:t>
            </w:r>
            <w:r>
              <w:t xml:space="preserve"> </w:t>
            </w:r>
            <w:r>
              <w:t xml:space="preserve">named. An</w:t>
            </w:r>
            <w:r>
              <w:t xml:space="preserve"> </w:t>
            </w:r>
            <w:r>
              <w:rPr>
                <w:b/>
                <w:bCs/>
              </w:rPr>
              <w:t xml:space="preserve">agency edition</w:t>
            </w:r>
            <w:r>
              <w:t xml:space="preserve"> </w:t>
            </w:r>
            <w:r>
              <w:t xml:space="preserve">renders from the same source with an agency’s own</w:t>
            </w:r>
            <w:r>
              <w:t xml:space="preserve"> </w:t>
            </w:r>
            <w:r>
              <w:t xml:space="preserve">facts substituted — its enabling statute, namespace, tenant, and pre-filled tool</w:t>
            </w:r>
            <w:r>
              <w:t xml:space="preserve"> </w:t>
            </w:r>
            <w:r>
              <w:t xml:space="preserve">inventory. That edition is not published: its facts live inside the agency</w:t>
            </w:r>
            <w:r>
              <w:t xml:space="preserve"> </w:t>
            </w:r>
            <w:r>
              <w:t xml:space="preserve">boundary, and the published tree cannot render it.</w:t>
            </w:r>
          </w:p>
          <w:p/>
        </w:tc>
      </w:tr>
    </w:tbl>
    <w:bookmarkEnd w:id="27"/>
    <w:bookmarkStart w:id="39" w:name="the-eleven-volumes"/>
    <w:p>
      <w:pPr>
        <w:pStyle w:val="Heading2"/>
      </w:pPr>
      <w:r>
        <w:t xml:space="preserve">The eleven volumes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Volume</w:t>
            </w:r>
          </w:p>
        </w:tc>
        <w:tc>
          <w:tcPr/>
          <w:p>
            <w:pPr>
              <w:pStyle w:val="Compact"/>
            </w:pPr>
            <w:r>
              <w:t xml:space="preserve">Theme</w:t>
            </w:r>
          </w:p>
        </w:tc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One Word file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0</w:t>
            </w:r>
          </w:p>
        </w:tc>
        <w:tc>
          <w:tcPr/>
          <w:p>
            <w:pPr>
              <w:pStyle w:val="Compact"/>
            </w:pPr>
            <w:r>
              <w:t xml:space="preserve">Executive Summary, Questionnaire &amp; Control Crosswalk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hyperlink r:id="rId28">
              <w:r>
                <w:rPr>
                  <w:rStyle w:val="VerbatimChar"/>
                </w:rPr>
                <w:t xml:space="preserve">Vol_0-Executive Summary, Questionnaire &amp; Control Crosswalk-Bundle.docx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</w:t>
            </w:r>
          </w:p>
        </w:tc>
        <w:tc>
          <w:tcPr/>
          <w:p>
            <w:pPr>
              <w:pStyle w:val="Compact"/>
            </w:pPr>
            <w:r>
              <w:t xml:space="preserve">Foundation &amp; Transport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hyperlink r:id="rId29">
              <w:r>
                <w:rPr>
                  <w:rStyle w:val="VerbatimChar"/>
                </w:rPr>
                <w:t xml:space="preserve">Vol_I-Foundation &amp; Transport-Bundle.docx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</w:t>
            </w:r>
          </w:p>
        </w:tc>
        <w:tc>
          <w:tcPr/>
          <w:p>
            <w:pPr>
              <w:pStyle w:val="Compact"/>
            </w:pPr>
            <w:r>
              <w:t xml:space="preserve">Data Platform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hyperlink r:id="rId30">
              <w:r>
                <w:rPr>
                  <w:rStyle w:val="VerbatimChar"/>
                </w:rPr>
                <w:t xml:space="preserve">Vol_II-Data Platform-Bundle.docx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III</w:t>
            </w:r>
          </w:p>
        </w:tc>
        <w:tc>
          <w:tcPr/>
          <w:p>
            <w:pPr>
              <w:pStyle w:val="Compact"/>
            </w:pPr>
            <w:r>
              <w:t xml:space="preserve">Security Operations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hyperlink r:id="rId31">
              <w:r>
                <w:rPr>
                  <w:rStyle w:val="VerbatimChar"/>
                </w:rPr>
                <w:t xml:space="preserve">Vol_III-Security Operations-Bundle.docx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IV</w:t>
            </w:r>
          </w:p>
        </w:tc>
        <w:tc>
          <w:tcPr/>
          <w:p>
            <w:pPr>
              <w:pStyle w:val="Compact"/>
            </w:pPr>
            <w:r>
              <w:t xml:space="preserve">Governance &amp; Assurance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hyperlink r:id="rId32">
              <w:r>
                <w:rPr>
                  <w:rStyle w:val="VerbatimChar"/>
                </w:rPr>
                <w:t xml:space="preserve">Vol_IV-Governance &amp; Assurance-Bundle.docx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</w:t>
            </w:r>
          </w:p>
        </w:tc>
        <w:tc>
          <w:tcPr/>
          <w:p>
            <w:pPr>
              <w:pStyle w:val="Compact"/>
            </w:pPr>
            <w:r>
              <w:t xml:space="preserve">Training &amp; Certification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hyperlink r:id="rId33">
              <w:r>
                <w:rPr>
                  <w:rStyle w:val="VerbatimChar"/>
                </w:rPr>
                <w:t xml:space="preserve">Vol_V-Training &amp; Certification-Bundle.docx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VI</w:t>
            </w:r>
          </w:p>
        </w:tc>
        <w:tc>
          <w:tcPr/>
          <w:p>
            <w:pPr>
              <w:pStyle w:val="Compact"/>
            </w:pPr>
            <w:r>
              <w:t xml:space="preserve">Implementation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hyperlink r:id="rId34">
              <w:r>
                <w:rPr>
                  <w:rStyle w:val="VerbatimChar"/>
                </w:rPr>
                <w:t xml:space="preserve">Vol_VI-Implementation-Bundle.docx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VII</w:t>
            </w:r>
          </w:p>
        </w:tc>
        <w:tc>
          <w:tcPr/>
          <w:p>
            <w:pPr>
              <w:pStyle w:val="Compact"/>
            </w:pPr>
            <w:r>
              <w:t xml:space="preserve">ServiceNow Automation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hyperlink r:id="rId35">
              <w:r>
                <w:rPr>
                  <w:rStyle w:val="VerbatimChar"/>
                </w:rPr>
                <w:t xml:space="preserve">Vol_VII-ServiceNow Automation-Bundle.docx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VIII</w:t>
            </w:r>
          </w:p>
        </w:tc>
        <w:tc>
          <w:tcPr/>
          <w:p>
            <w:pPr>
              <w:pStyle w:val="Compact"/>
            </w:pPr>
            <w:r>
              <w:t xml:space="preserve">Multi-Cloud DDI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hyperlink r:id="rId36">
              <w:r>
                <w:rPr>
                  <w:rStyle w:val="VerbatimChar"/>
                </w:rPr>
                <w:t xml:space="preserve">Vol_VIII-Multi-Cloud DDI-Bundle.docx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IX</w:t>
            </w:r>
          </w:p>
        </w:tc>
        <w:tc>
          <w:tcPr/>
          <w:p>
            <w:pPr>
              <w:pStyle w:val="Compact"/>
            </w:pPr>
            <w:r>
              <w:t xml:space="preserve">Day-2 Operations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hyperlink r:id="rId37">
              <w:r>
                <w:rPr>
                  <w:rStyle w:val="VerbatimChar"/>
                </w:rPr>
                <w:t xml:space="preserve">Vol_IX-Day-2 Operations-Bundle.docx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Vol X</w:t>
            </w:r>
          </w:p>
        </w:tc>
        <w:tc>
          <w:tcPr/>
          <w:p>
            <w:pPr>
              <w:pStyle w:val="Compact"/>
            </w:pPr>
            <w:r>
              <w:t xml:space="preserve">Governance-Substrate Integration (optional binding)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hyperlink r:id="rId38">
              <w:r>
                <w:rPr>
                  <w:rStyle w:val="VerbatimChar"/>
                </w:rPr>
                <w:t xml:space="preserve">Vol_X-Governance-Substrate Integration-Bundle.docx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A companion</w:t>
      </w:r>
      <w:r>
        <w:t xml:space="preserve"> </w:t>
      </w:r>
      <w:r>
        <w:rPr>
          <w:b/>
          <w:bCs/>
        </w:rPr>
        <w:t xml:space="preserve">Training Academy</w:t>
      </w:r>
      <w:r>
        <w:t xml:space="preserve"> </w:t>
      </w:r>
      <w:r>
        <w:t xml:space="preserve">— 20 per-book courseware modules, 5 vendor labs,</w:t>
      </w:r>
      <w:r>
        <w:t xml:space="preserve"> </w:t>
      </w:r>
      <w:r>
        <w:t xml:space="preserve">and two tracks (compliance and implementation) — is published alongside the series.</w:t>
      </w:r>
    </w:p>
    <w:bookmarkEnd w:id="39"/>
    <w:bookmarkStart w:id="40" w:name="how-the-series-closes-controls"/>
    <w:p>
      <w:pPr>
        <w:pStyle w:val="Heading2"/>
      </w:pPr>
      <w:r>
        <w:t xml:space="preserve">How the series closes controls</w:t>
      </w:r>
    </w:p>
    <w:p>
      <w:pPr>
        <w:pStyle w:val="FirstParagraph"/>
      </w:pPr>
      <w:r>
        <w:t xml:space="preserve">Each book generates its</w:t>
      </w:r>
      <w:r>
        <w:t xml:space="preserve"> </w:t>
      </w:r>
      <w:r>
        <w:t xml:space="preserve">“Authorities Closed Here”</w:t>
      </w:r>
      <w:r>
        <w:t xml:space="preserve"> </w:t>
      </w:r>
      <w:r>
        <w:t xml:space="preserve">table from a single compliance</w:t>
      </w:r>
      <w:r>
        <w:t xml:space="preserve"> </w:t>
      </w:r>
      <w:r>
        <w:t xml:space="preserve">spine (</w:t>
      </w:r>
      <w:r>
        <w:rPr>
          <w:rStyle w:val="VerbatimChar"/>
        </w:rPr>
        <w:t xml:space="preserve">federal-compliance-compliance-spine.yml</w:t>
      </w:r>
      <w:r>
        <w:t xml:space="preserve">): the SSOT that maps every NIST SP 800-53 Rev 5</w:t>
      </w:r>
      <w:r>
        <w:t xml:space="preserve"> </w:t>
      </w:r>
      <w:r>
        <w:t xml:space="preserve">control the series closes to the book that closes it, the mechanism, the</w:t>
      </w:r>
      <w:r>
        <w:t xml:space="preserve"> </w:t>
      </w:r>
      <w:r>
        <w:t xml:space="preserve">accreditation gate, the FedRAMP 20x KSI theme, and the evidence slot. The tables</w:t>
      </w:r>
      <w:r>
        <w:t xml:space="preserve"> </w:t>
      </w:r>
      <w:r>
        <w:t xml:space="preserve">are generated, never hand-edited, so the series cannot claim a closure the spine</w:t>
      </w:r>
      <w:r>
        <w:t xml:space="preserve"> </w:t>
      </w:r>
      <w:r>
        <w:t xml:space="preserve">does not record.</w:t>
      </w:r>
    </w:p>
    <w:bookmarkEnd w:id="40"/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8" Target="../../downloads/Vol_0-Executive%20Summary,%20Questionnaire%20&amp;%20Control%20Crosswalk-Bundle.docx" TargetMode="External" /><Relationship Type="http://schemas.openxmlformats.org/officeDocument/2006/relationships/hyperlink" Id="rId29" Target="../../downloads/Vol_I-Foundation%20&amp;%20Transport-Bundle.docx" TargetMode="External" /><Relationship Type="http://schemas.openxmlformats.org/officeDocument/2006/relationships/hyperlink" Id="rId30" Target="../../downloads/Vol_II-Data%20Platform-Bundle.docx" TargetMode="External" /><Relationship Type="http://schemas.openxmlformats.org/officeDocument/2006/relationships/hyperlink" Id="rId31" Target="../../downloads/Vol_III-Security%20Operations-Bundle.docx" TargetMode="External" /><Relationship Type="http://schemas.openxmlformats.org/officeDocument/2006/relationships/hyperlink" Id="rId32" Target="../../downloads/Vol_IV-Governance%20&amp;%20Assurance-Bundle.docx" TargetMode="External" /><Relationship Type="http://schemas.openxmlformats.org/officeDocument/2006/relationships/hyperlink" Id="rId37" Target="../../downloads/Vol_IX-Day-2%20Operations-Bundle.docx" TargetMode="External" /><Relationship Type="http://schemas.openxmlformats.org/officeDocument/2006/relationships/hyperlink" Id="rId33" Target="../../downloads/Vol_V-Training%20&amp;%20Certification-Bundle.docx" TargetMode="External" /><Relationship Type="http://schemas.openxmlformats.org/officeDocument/2006/relationships/hyperlink" Id="rId34" Target="../../downloads/Vol_VI-Implementation-Bundle.docx" TargetMode="External" /><Relationship Type="http://schemas.openxmlformats.org/officeDocument/2006/relationships/hyperlink" Id="rId35" Target="../../downloads/Vol_VII-ServiceNow%20Automation-Bundle.docx" TargetMode="External" /><Relationship Type="http://schemas.openxmlformats.org/officeDocument/2006/relationships/hyperlink" Id="rId36" Target="../../downloads/Vol_VIII-Multi-Cloud%20DDI-Bundle.docx" TargetMode="External" /><Relationship Type="http://schemas.openxmlformats.org/officeDocument/2006/relationships/hyperlink" Id="rId38" Target="../../downloads/Vol_X-Governance-Substrate%20Integration-Bundle.docx" TargetMode="External" /><Relationship Type="http://schemas.openxmlformats.org/officeDocument/2006/relationships/hyperlink" Id="rId24" Target="../../downloads/federal-compliance-series-bundle.docx" TargetMode="External" /><Relationship Type="http://schemas.openxmlformats.org/officeDocument/2006/relationships/hyperlink" Id="rId13" Target="Vol_0_Book_00_Executive_Summary.md" TargetMode="External" /><Relationship Type="http://schemas.openxmlformats.org/officeDocument/2006/relationships/hyperlink" Id="rId20" Target="Vol_0_Book_00_Executive_Summary.md#macdr-lifecycle" TargetMode="External" /><Relationship Type="http://schemas.openxmlformats.org/officeDocument/2006/relationships/hyperlink" Id="rId19" Target="Vol_0_Book_00_Executive_Summary.md#ssot-registry" TargetMode="External" /><Relationship Type="http://schemas.openxmlformats.org/officeDocument/2006/relationships/hyperlink" Id="rId12" Target="Vol_0_Book_00a_Executive_Brief.md" TargetMode="External" /><Relationship Type="http://schemas.openxmlformats.org/officeDocument/2006/relationships/hyperlink" Id="rId15" Target="Vol_0_Book_01_Product_Inventory_Questionnaire.md" TargetMode="External" /><Relationship Type="http://schemas.openxmlformats.org/officeDocument/2006/relationships/hyperlink" Id="rId16" Target="Vol_VII_Book_05_ServiceNow_Compliance_App.md" TargetMode="External" /><Relationship Type="http://schemas.openxmlformats.org/officeDocument/2006/relationships/hyperlink" Id="rId17" Target="Vol_V_Book_00_Training_Certification_Overview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../../downloads/Vol_0-Executive%20Summary,%20Questionnaire%20&amp;%20Control%20Crosswalk-Bundle.docx" TargetMode="External" /><Relationship Type="http://schemas.openxmlformats.org/officeDocument/2006/relationships/hyperlink" Id="rId29" Target="../../downloads/Vol_I-Foundation%20&amp;%20Transport-Bundle.docx" TargetMode="External" /><Relationship Type="http://schemas.openxmlformats.org/officeDocument/2006/relationships/hyperlink" Id="rId30" Target="../../downloads/Vol_II-Data%20Platform-Bundle.docx" TargetMode="External" /><Relationship Type="http://schemas.openxmlformats.org/officeDocument/2006/relationships/hyperlink" Id="rId31" Target="../../downloads/Vol_III-Security%20Operations-Bundle.docx" TargetMode="External" /><Relationship Type="http://schemas.openxmlformats.org/officeDocument/2006/relationships/hyperlink" Id="rId32" Target="../../downloads/Vol_IV-Governance%20&amp;%20Assurance-Bundle.docx" TargetMode="External" /><Relationship Type="http://schemas.openxmlformats.org/officeDocument/2006/relationships/hyperlink" Id="rId37" Target="../../downloads/Vol_IX-Day-2%20Operations-Bundle.docx" TargetMode="External" /><Relationship Type="http://schemas.openxmlformats.org/officeDocument/2006/relationships/hyperlink" Id="rId33" Target="../../downloads/Vol_V-Training%20&amp;%20Certification-Bundle.docx" TargetMode="External" /><Relationship Type="http://schemas.openxmlformats.org/officeDocument/2006/relationships/hyperlink" Id="rId34" Target="../../downloads/Vol_VI-Implementation-Bundle.docx" TargetMode="External" /><Relationship Type="http://schemas.openxmlformats.org/officeDocument/2006/relationships/hyperlink" Id="rId35" Target="../../downloads/Vol_VII-ServiceNow%20Automation-Bundle.docx" TargetMode="External" /><Relationship Type="http://schemas.openxmlformats.org/officeDocument/2006/relationships/hyperlink" Id="rId36" Target="../../downloads/Vol_VIII-Multi-Cloud%20DDI-Bundle.docx" TargetMode="External" /><Relationship Type="http://schemas.openxmlformats.org/officeDocument/2006/relationships/hyperlink" Id="rId38" Target="../../downloads/Vol_X-Governance-Substrate%20Integration-Bundle.docx" TargetMode="External" /><Relationship Type="http://schemas.openxmlformats.org/officeDocument/2006/relationships/hyperlink" Id="rId24" Target="../../downloads/federal-compliance-series-bundle.docx" TargetMode="External" /><Relationship Type="http://schemas.openxmlformats.org/officeDocument/2006/relationships/hyperlink" Id="rId13" Target="Vol_0_Book_00_Executive_Summary.md" TargetMode="External" /><Relationship Type="http://schemas.openxmlformats.org/officeDocument/2006/relationships/hyperlink" Id="rId20" Target="Vol_0_Book_00_Executive_Summary.md#macdr-lifecycle" TargetMode="External" /><Relationship Type="http://schemas.openxmlformats.org/officeDocument/2006/relationships/hyperlink" Id="rId19" Target="Vol_0_Book_00_Executive_Summary.md#ssot-registry" TargetMode="External" /><Relationship Type="http://schemas.openxmlformats.org/officeDocument/2006/relationships/hyperlink" Id="rId12" Target="Vol_0_Book_00a_Executive_Brief.md" TargetMode="External" /><Relationship Type="http://schemas.openxmlformats.org/officeDocument/2006/relationships/hyperlink" Id="rId15" Target="Vol_0_Book_01_Product_Inventory_Questionnaire.md" TargetMode="External" /><Relationship Type="http://schemas.openxmlformats.org/officeDocument/2006/relationships/hyperlink" Id="rId16" Target="Vol_VII_Book_05_ServiceNow_Compliance_App.md" TargetMode="External" /><Relationship Type="http://schemas.openxmlformats.org/officeDocument/2006/relationships/hyperlink" Id="rId17" Target="Vol_V_Book_00_Training_Certification_Overview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Compliance Series</dc:title>
  <dc:creator/>
  <cp:keywords/>
  <dcterms:created xsi:type="dcterms:W3CDTF">2026-10-19T10:10:34Z</dcterms:created>
  <dcterms:modified xsi:type="dcterms:W3CDTF">2026-10-19T10:10:34Z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dience">
    <vt:lpwstr/>
  </property>
  <property fmtid="{D5CDD505-2E9C-101B-9397-08002B2CF9AE}" pid="5" name="biblio-config">
    <vt:lpwstr>True</vt:lpwstr>
  </property>
  <property fmtid="{D5CDD505-2E9C-101B-9397-08002B2CF9AE}" pid="6" name="date-format">
    <vt:lpwstr>YYYY-MM-DD HH:mm [ET]</vt:lpwstr>
  </property>
  <property fmtid="{D5CDD505-2E9C-101B-9397-08002B2CF9AE}" pid="7" name="doc-type">
    <vt:lpwstr>section-landing</vt:lpwstr>
  </property>
  <property fmtid="{D5CDD505-2E9C-101B-9397-08002B2CF9AE}" pid="8" name="family">
    <vt:lpwstr>federal-compliance-series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lifecycle">
    <vt:lpwstr>adopted</vt:lpwstr>
  </property>
  <property fmtid="{D5CDD505-2E9C-101B-9397-08002B2CF9AE}" pid="14" name="lifecycle_review">
    <vt:lpwstr>2026-12-17</vt:lpwstr>
  </property>
  <property fmtid="{D5CDD505-2E9C-101B-9397-08002B2CF9AE}" pid="15" name="subtitle">
    <vt:lpwstr>An eleven-volume, 60-book FedRAMP Moderate compliance program — the federal edition, generic to any agency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