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Compliance Training Program</w:t>
      </w:r>
    </w:p>
    <w:p>
      <w:pPr>
        <w:pStyle w:val="Subtitle"/>
      </w:pPr>
      <w:r>
        <w:t xml:space="preserve">Two-track curriculum over the 20 core books (Book 00-19) of the Federal Compliance series — compliance and implementation</w:t>
      </w:r>
    </w:p>
    <w:p>
      <w:pPr>
        <w:pStyle w:val="Date"/>
      </w:pPr>
      <w:r>
        <w:t xml:space="preserve">July 18,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academies on this site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is the</w:t>
            </w:r>
            <w:r>
              <w:t xml:space="preserve"> </w:t>
            </w:r>
            <w:r>
              <w:rPr>
                <w:b/>
                <w:bCs/>
              </w:rPr>
              <w:t xml:space="preserve">Compliance Training Program</w:t>
            </w:r>
            <w:r>
              <w:t xml:space="preserve"> </w:t>
            </w:r>
            <w:r>
              <w:t xml:space="preserve">— the two-track curriculum over the</w:t>
            </w:r>
            <w:r>
              <w:t xml:space="preserve"> </w:t>
            </w:r>
            <w:r>
              <w:t xml:space="preserve">Federal Compliance book series. The host site also publishes a</w:t>
            </w:r>
            <w:r>
              <w:t xml:space="preserve"> </w:t>
            </w:r>
            <w:r>
              <w:t xml:space="preserve">separate</w:t>
            </w:r>
            <w:r>
              <w:t xml:space="preserve"> </w:t>
            </w:r>
            <w:r>
              <w:rPr>
                <w:b/>
                <w:bCs/>
              </w:rPr>
              <w:t xml:space="preserve">engine Academy</w:t>
            </w:r>
            <w:r>
              <w:t xml:space="preserve"> </w:t>
            </w:r>
            <w:r>
              <w:t xml:space="preserve">— the governance</w:t>
            </w:r>
            <w:r>
              <w:t xml:space="preserve"> </w:t>
            </w:r>
            <w:r>
              <w:t xml:space="preserve">engine’s own contributor/operator curriculum. Within Compliance,</w:t>
            </w:r>
            <w:r>
              <w:t xml:space="preserve"> </w:t>
            </w:r>
            <w:r>
              <w:rPr>
                <w:b/>
                <w:bCs/>
              </w:rPr>
              <w:t xml:space="preserve">Vol V of the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series is this program’s narrative layer; the pages here are the courseware.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 part of the governance engine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Compliance book series and this training program are</w:t>
            </w:r>
            <w:r>
              <w:t xml:space="preserve"> </w:t>
            </w:r>
            <w:r>
              <w:rPr>
                <w:b/>
                <w:bCs/>
              </w:rPr>
              <w:t xml:space="preserve">companion material for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the federal vertical — they are not part of the governance engine</w:t>
            </w:r>
            <w:r>
              <w:t xml:space="preserve">. The reference implementation’s core is</w:t>
            </w:r>
            <w:r>
              <w:t xml:space="preserve"> </w:t>
            </w:r>
            <w:r>
              <w:t xml:space="preserve">vertical-agnostic; the Compliance corpus is external federal-modernization content that the reference implementation’s</w:t>
            </w:r>
            <w:r>
              <w:t xml:space="preserve"> </w:t>
            </w:r>
            <w:r>
              <w:t xml:space="preserve">conformance tooling happens to consume as evidence. Nothing on these pages</w:t>
            </w:r>
            <w:r>
              <w:t xml:space="preserve"> </w:t>
            </w:r>
            <w:r>
              <w:t xml:space="preserve">is host-repo canon, defines engine doctrine, or is scoped for a</w:t>
            </w:r>
            <w:r>
              <w:t xml:space="preserve"> </w:t>
            </w:r>
            <w:r>
              <w:rPr>
                <w:rStyle w:val="VerbatimChar"/>
              </w:rPr>
              <w:t xml:space="preserve">FMP_NNN</w:t>
            </w:r>
            <w:r>
              <w:t xml:space="preserve"> </w:t>
            </w:r>
            <w:r>
              <w:t xml:space="preserve">allocation. These pages are hosted here for convenience alongside the</w:t>
            </w:r>
            <w:r>
              <w:t xml:space="preserve"> </w:t>
            </w:r>
            <w:r>
              <w:t xml:space="preserve">adapter that binds the books’ evidence.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Living program — expansion expected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program is a</w:t>
            </w:r>
            <w:r>
              <w:t xml:space="preserve"> </w:t>
            </w:r>
            <w:r>
              <w:rPr>
                <w:b/>
                <w:bCs/>
              </w:rPr>
              <w:t xml:space="preserve">research-driven living curriculum</w:t>
            </w:r>
            <w:r>
              <w:t xml:space="preserve">. It launches with the</w:t>
            </w:r>
            <w:r>
              <w:t xml:space="preserve"> </w:t>
            </w:r>
            <w:r>
              <w:t xml:space="preserve">program charter, the two track outlines, and a first-pass vendor training</w:t>
            </w:r>
            <w:r>
              <w:t xml:space="preserve"> </w:t>
            </w:r>
            <w:r>
              <w:t xml:space="preserve">catalog. As research continues, modules gain per-book lesson pages, labs,</w:t>
            </w:r>
            <w:r>
              <w:t xml:space="preserve"> </w:t>
            </w:r>
            <w:r>
              <w:t xml:space="preserve">assessment rubrics, and additional vendor offerings. See</w:t>
            </w:r>
            <w:r>
              <w:t xml:space="preserve"> </w:t>
            </w:r>
            <w:hyperlink w:anchor="expansion-roadmap">
              <w:r>
                <w:rPr>
                  <w:rStyle w:val="Hyperlink"/>
                </w:rPr>
                <w:t xml:space="preserve">Expansion roadmap</w:t>
              </w:r>
            </w:hyperlink>
            <w:r>
              <w:t xml:space="preserve">.</w:t>
            </w:r>
          </w:p>
          <w:p/>
        </w:tc>
      </w:tr>
    </w:tbl>
    <w:bookmarkStart w:id="18" w:name="what-this-program-is"/>
    <w:p>
      <w:pPr>
        <w:pStyle w:val="Heading2"/>
      </w:pPr>
      <w:r>
        <w:t xml:space="preserve">What this program is</w:t>
      </w:r>
    </w:p>
    <w:p>
      <w:pPr>
        <w:pStyle w:val="FirstParagraph"/>
      </w:pPr>
      <w:r>
        <w:t xml:space="preserve">The Federal Compliance series spans eleven volumes;</w:t>
      </w:r>
      <w:r>
        <w:t xml:space="preserve"> </w:t>
      </w:r>
      <w:r>
        <w:t xml:space="preserve">this training program covers its</w:t>
      </w:r>
      <w:r>
        <w:t xml:space="preserve"> </w:t>
      </w:r>
      <w:r>
        <w:rPr>
          <w:b/>
          <w:bCs/>
        </w:rPr>
        <w:t xml:space="preserve">20 core books</w:t>
      </w:r>
      <w:r>
        <w:t xml:space="preserve"> </w:t>
      </w:r>
      <w:r>
        <w:t xml:space="preserve">(Book 00 through Book 19)</w:t>
      </w:r>
      <w:r>
        <w:t xml:space="preserve"> </w:t>
      </w:r>
      <w:r>
        <w:t xml:space="preserve">that document a complete federal network modernization: landing zone and IPAM, network access control, cryptographic</w:t>
      </w:r>
      <w:r>
        <w:t xml:space="preserve"> </w:t>
      </w:r>
      <w:r>
        <w:t xml:space="preserve">identity, the HR-driven identity and organizational SSOT, network and</w:t>
      </w:r>
      <w:r>
        <w:t xml:space="preserve"> </w:t>
      </w:r>
      <w:r>
        <w:t xml:space="preserve">telecommunications modernization, data-platform authentication, privileged access, vulnerability</w:t>
      </w:r>
      <w:r>
        <w:t xml:space="preserve"> </w:t>
      </w:r>
      <w:r>
        <w:t xml:space="preserve">management, data protection, detection engineering, business continuity,</w:t>
      </w:r>
      <w:r>
        <w:t xml:space="preserve"> </w:t>
      </w:r>
      <w:r>
        <w:t xml:space="preserve">supply-chain risk, program governance, PII transparency, cybersecurity</w:t>
      </w:r>
      <w:r>
        <w:t xml:space="preserve"> </w:t>
      </w:r>
      <w:r>
        <w:t xml:space="preserve">training, and the authorization package / ConMon wrapper. The books live on</w:t>
      </w:r>
      <w:r>
        <w:t xml:space="preserve"> </w:t>
      </w:r>
      <w:r>
        <w:t xml:space="preserve">the published site at</w:t>
      </w:r>
      <w:r>
        <w:t xml:space="preserve"> </w:t>
      </w:r>
      <w:r>
        <w:t xml:space="preserve">[</w:t>
      </w:r>
      <w:r>
        <w:rPr>
          <w:rStyle w:val="VerbatimChar"/>
        </w:rPr>
        <w:t xml:space="preserve">docs/customer-documents/federal-compliance-series/</w:t>
      </w:r>
      <w:r>
        <w:t xml:space="preserve">]</w:t>
      </w:r>
      <w:r>
        <w:t xml:space="preserve"> </w:t>
      </w:r>
      <w:r>
        <w:t xml:space="preserve">and are bound to FedRAMP 20x evidence slots by the</w:t>
      </w:r>
      <w:r>
        <w:t xml:space="preserve"> </w:t>
      </w:r>
      <w:r>
        <w:t xml:space="preserve">[</w:t>
      </w:r>
      <w:r>
        <w:rPr>
          <w:rStyle w:val="VerbatimChar"/>
        </w:rPr>
        <w:t xml:space="preserve">fedramp_aan_catalog</w:t>
      </w:r>
      <w:r>
        <w:t xml:space="preserve"> </w:t>
      </w:r>
      <w:r>
        <w:t xml:space="preserve">adapter].</w:t>
      </w:r>
    </w:p>
    <w:p>
      <w:pPr>
        <w:pStyle w:val="BodyText"/>
      </w:pPr>
      <w:r>
        <w:t xml:space="preserve">The Compliance Training Program teaches that corpus in</w:t>
      </w:r>
      <w:r>
        <w:t xml:space="preserve"> </w:t>
      </w:r>
      <w:r>
        <w:rPr>
          <w:b/>
          <w:bCs/>
        </w:rPr>
        <w:t xml:space="preserve">two tracks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Track</w:t>
            </w:r>
          </w:p>
        </w:tc>
        <w:tc>
          <w:tcPr/>
          <w:p>
            <w:pPr>
              <w:pStyle w:val="Compact"/>
            </w:pPr>
            <w:r>
              <w:t xml:space="preserve">Page</w:t>
            </w:r>
          </w:p>
        </w:tc>
        <w:tc>
          <w:tcPr/>
          <w:p>
            <w:pPr>
              <w:pStyle w:val="Compact"/>
            </w:pPr>
            <w:r>
              <w:t xml:space="preserve">Audience</w:t>
            </w:r>
          </w:p>
        </w:tc>
        <w:tc>
          <w:tcPr/>
          <w:p>
            <w:pPr>
              <w:pStyle w:val="Compact"/>
            </w:pPr>
            <w:r>
              <w:t xml:space="preserve">Outcome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Track A — Compliance</w:t>
            </w:r>
          </w:p>
        </w:tc>
        <w:tc>
          <w:tcPr/>
          <w:p>
            <w:pPr>
              <w:pStyle w:val="Compact"/>
            </w:pPr>
            <w:r>
              <w:t xml:space="preserve">Compliance track</w:t>
            </w:r>
          </w:p>
        </w:tc>
        <w:tc>
          <w:tcPr/>
          <w:p>
            <w:pPr>
              <w:pStyle w:val="Compact"/>
            </w:pPr>
            <w:r>
              <w:t xml:space="preserve">ISSOs / ISSMs, assessors, ConMon operators, compliance leads</w:t>
            </w:r>
          </w:p>
        </w:tc>
        <w:tc>
          <w:tcPr/>
          <w:p>
            <w:pPr>
              <w:pStyle w:val="Compact"/>
            </w:pPr>
            <w:r>
              <w:t xml:space="preserve">Can state, for each of the 20 books, which NIST SP 800-53 Rev 5 controls it closes, which FedRAMP 20x KSI category evaluates that closure, and how the evidence flows through the engine’s conformance pipeline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Track B — Implementation</w:t>
            </w:r>
          </w:p>
        </w:tc>
        <w:tc>
          <w:tcPr/>
          <w:p>
            <w:pPr>
              <w:pStyle w:val="Compact"/>
            </w:pPr>
            <w:r>
              <w:t xml:space="preserve">Implementation track</w:t>
            </w:r>
          </w:p>
        </w:tc>
        <w:tc>
          <w:tcPr/>
          <w:p>
            <w:pPr>
              <w:pStyle w:val="Compact"/>
            </w:pPr>
            <w:r>
              <w:t xml:space="preserve">Network, platform, database, identity, and security engineers</w:t>
            </w:r>
          </w:p>
        </w:tc>
        <w:tc>
          <w:tcPr/>
          <w:p>
            <w:pPr>
              <w:pStyle w:val="Compact"/>
            </w:pPr>
            <w:r>
              <w:t xml:space="preserve">Can implement the architecture each book describes and produce the machine-readable evidence Track A consumes</w:t>
            </w:r>
          </w:p>
        </w:tc>
      </w:tr>
    </w:tbl>
    <w:p>
      <w:pPr>
        <w:pStyle w:val="BodyText"/>
      </w:pPr>
      <w:r>
        <w:t xml:space="preserve">A third page, the Vendor training catalog,</w:t>
      </w:r>
      <w:r>
        <w:t xml:space="preserve"> </w:t>
      </w:r>
      <w:r>
        <w:t xml:space="preserve">maps each book to existing external training from the vendors whose products</w:t>
      </w:r>
      <w:r>
        <w:t xml:space="preserve"> </w:t>
      </w:r>
      <w:r>
        <w:t xml:space="preserve">the books deploy (Microsoft, Infoblox, Cisco, AWS, and others), plus</w:t>
      </w:r>
      <w:r>
        <w:t xml:space="preserve"> </w:t>
      </w:r>
      <w:r>
        <w:t xml:space="preserve">federal/compliance training sources (CISA, FedRAMP, NIST).</w:t>
      </w:r>
    </w:p>
    <w:bookmarkEnd w:id="18"/>
    <w:bookmarkStart w:id="22" w:name="relationship-to-governance-engines"/>
    <w:p>
      <w:pPr>
        <w:pStyle w:val="Heading2"/>
      </w:pPr>
      <w:r>
        <w:t xml:space="preserve">Relationship to governance engines</w:t>
      </w:r>
    </w:p>
    <w:p>
      <w:pPr>
        <w:pStyle w:val="Compact"/>
        <w:numPr>
          <w:ilvl w:val="0"/>
          <w:numId w:val="1001"/>
        </w:numPr>
      </w:pPr>
      <w:r>
        <w:t xml:space="preserve">This program is</w:t>
      </w:r>
      <w:r>
        <w:t xml:space="preserve"> </w:t>
      </w:r>
      <w:r>
        <w:rPr>
          <w:b/>
          <w:bCs/>
        </w:rPr>
        <w:t xml:space="preserve">separate from</w:t>
      </w:r>
      <w:r>
        <w:t xml:space="preserve"> </w:t>
      </w:r>
      <w:r>
        <w:t xml:space="preserve">the reference implementation’s own training program</w:t>
      </w:r>
      <w:r>
        <w:t xml:space="preserve"> </w:t>
      </w:r>
      <w:r>
        <w:t xml:space="preserve">(Contributor + Operator tracks). That program teaches the reference implementation; this</w:t>
      </w:r>
      <w:r>
        <w:t xml:space="preserve"> </w:t>
      </w:r>
      <w:r>
        <w:t xml:space="preserve">program teaches the</w:t>
      </w:r>
      <w:r>
        <w:t xml:space="preserve"> </w:t>
      </w:r>
      <w:r>
        <w:rPr>
          <w:b/>
          <w:bCs/>
        </w:rPr>
        <w:t xml:space="preserve">Compliance book series</w:t>
      </w:r>
      <w:r>
        <w:t xml:space="preserve">, which is not the governance engine</w:t>
      </w:r>
      <w:r>
        <w:t xml:space="preserve"> </w:t>
      </w:r>
      <w:r>
        <w:t xml:space="preserve">material. The only connection is mechanical: the</w:t>
      </w:r>
      <w:r>
        <w:t xml:space="preserve"> </w:t>
      </w:r>
      <w:r>
        <w:rPr>
          <w:rStyle w:val="VerbatimChar"/>
        </w:rPr>
        <w:t xml:space="preserve">fedramp_aan_catalog</w:t>
      </w:r>
      <w:r>
        <w:t xml:space="preserve"> </w:t>
      </w:r>
      <w:r>
        <w:t xml:space="preserve">conformance adapter reads the books’ artifacts as</w:t>
      </w:r>
      <w:r>
        <w:t xml:space="preserve"> </w:t>
      </w:r>
      <w:r>
        <w:t xml:space="preserve">evidence, the same way the engine’s adapters read any external vendor’s output.</w:t>
      </w:r>
    </w:p>
    <w:p>
      <w:pPr>
        <w:pStyle w:val="Compact"/>
        <w:numPr>
          <w:ilvl w:val="0"/>
          <w:numId w:val="1001"/>
        </w:numPr>
      </w:pPr>
      <w:r>
        <w:t xml:space="preserve">The engine core is vertical-agnostic. Describing this curriculum as part of</w:t>
      </w:r>
      <w:r>
        <w:t xml:space="preserve"> </w:t>
      </w:r>
      <w:r>
        <w:t xml:space="preserve">any governance engine would itself be a positioning bug.</w:t>
      </w:r>
    </w:p>
    <w:p>
      <w:pPr>
        <w:pStyle w:val="Compact"/>
        <w:numPr>
          <w:ilvl w:val="0"/>
          <w:numId w:val="1001"/>
        </w:numPr>
      </w:pPr>
      <w:r>
        <w:t xml:space="preserve">The compliance backbone follows the</w:t>
      </w:r>
      <w:r>
        <w:t xml:space="preserve"> </w:t>
      </w:r>
      <w:r>
        <w:t xml:space="preserve">[Compliance / ConMon Compliance Gap Roadmap]</w:t>
      </w:r>
      <w:r>
        <w:t xml:space="preserve"> </w:t>
      </w:r>
      <w:r>
        <w:t xml:space="preserve">and the slot bindings in</w:t>
      </w:r>
      <w:r>
        <w:t xml:space="preserve"> </w:t>
      </w:r>
      <w:r>
        <w:t xml:space="preserve">[</w:t>
      </w:r>
      <w:r>
        <w:rPr>
          <w:rStyle w:val="VerbatimChar"/>
        </w:rPr>
        <w:t xml:space="preserve">fedramp_aan_catalog/mappings/</w:t>
      </w:r>
      <w:r>
        <w:t xml:space="preserve">].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Provenance status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Compliance books are published under</w:t>
            </w:r>
            <w:r>
              <w:t xml:space="preserve"> </w:t>
            </w:r>
            <w:r>
              <w:rPr>
                <w:rStyle w:val="VerbatimChar"/>
              </w:rPr>
              <w:t xml:space="preserve">docs/customer-documents/federal-compliance-series/</w:t>
            </w:r>
            <w:r>
              <w:t xml:space="preserve">.</w:t>
            </w:r>
            <w:r>
              <w:t xml:space="preserve"> </w:t>
            </w:r>
            <w:r>
              <w:t xml:space="preserve">They are external companion material, not host-repo canon, and are not</w:t>
            </w:r>
            <w:r>
              <w:t xml:space="preserve"> </w:t>
            </w:r>
            <w:r>
              <w:t xml:space="preserve">on a canonization path. If the books move to their own home, the links</w:t>
            </w:r>
            <w:r>
              <w:t xml:space="preserve"> </w:t>
            </w:r>
            <w:r>
              <w:t xml:space="preserve">below follow them. Treat control-closure counts as working figures from the</w:t>
            </w:r>
            <w:r>
              <w:t xml:space="preserve"> </w:t>
            </w:r>
            <w:r>
              <w:t xml:space="preserve">gap roadmap, not attested facts.</w:t>
            </w:r>
          </w:p>
          <w:p/>
        </w:tc>
      </w:tr>
    </w:tbl>
    <w:bookmarkEnd w:id="22"/>
    <w:bookmarkStart w:id="25" w:name="the-20-book-corpus"/>
    <w:p>
      <w:pPr>
        <w:pStyle w:val="Heading2"/>
      </w:pPr>
      <w:r>
        <w:t xml:space="preserve">The 20-book corpus</w:t>
      </w:r>
    </w:p>
    <w:p>
      <w:pPr>
        <w:pStyle w:val="FirstParagraph"/>
      </w:pPr>
      <w:r>
        <w:t xml:space="preserve">Each book now has a</w:t>
      </w:r>
      <w:r>
        <w:t xml:space="preserve"> </w:t>
      </w:r>
      <w:r>
        <w:rPr>
          <w:b/>
          <w:bCs/>
        </w:rPr>
        <w:t xml:space="preserve">module page</w:t>
      </w:r>
      <w:r>
        <w:t xml:space="preserve"> </w:t>
      </w:r>
      <w:r>
        <w:t xml:space="preserve">— objectives, key concepts,</w:t>
      </w:r>
      <w:r>
        <w:t xml:space="preserve"> </w:t>
      </w:r>
      <w:r>
        <w:t xml:space="preserve">implementation sequence, compliance hooks, labs, pitfalls, and vendor</w:t>
      </w:r>
      <w:r>
        <w:t xml:space="preserve"> </w:t>
      </w:r>
      <w:r>
        <w:t xml:space="preserve">training pointers, all derived from the book’s actual content. The module</w:t>
      </w:r>
      <w:r>
        <w:t xml:space="preserve"> </w:t>
      </w:r>
      <w:r>
        <w:t xml:space="preserve">page links to the canonical manuscript source.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Module page</w:t>
            </w:r>
          </w:p>
        </w:tc>
        <w:tc>
          <w:tcPr/>
          <w:p>
            <w:pPr>
              <w:pStyle w:val="Compact"/>
            </w:pPr>
            <w:r>
              <w:t xml:space="preserve">Domain</w:t>
            </w:r>
          </w:p>
        </w:tc>
        <w:tc>
          <w:tcPr/>
          <w:p>
            <w:pPr>
              <w:pStyle w:val="Compact"/>
            </w:pPr>
            <w:r>
              <w:t xml:space="preserve">Evidence slot(s)</w:t>
            </w:r>
          </w:p>
        </w:tc>
        <w:tc>
          <w:tcPr/>
          <w:p>
            <w:pPr>
              <w:pStyle w:val="Compact"/>
            </w:pPr>
            <w:r>
              <w:t xml:space="preserve">KSI category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00</w:t>
            </w:r>
          </w:p>
        </w:tc>
        <w:tc>
          <w:tcPr/>
          <w:p>
            <w:pPr>
              <w:pStyle w:val="Compact"/>
            </w:pPr>
            <w:r>
              <w:t xml:space="preserve">Executive Summary</w:t>
            </w:r>
          </w:p>
        </w:tc>
        <w:tc>
          <w:tcPr/>
          <w:p>
            <w:pPr>
              <w:pStyle w:val="Compact"/>
            </w:pPr>
            <w:r>
              <w:t xml:space="preserve">Orientation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01</w:t>
            </w:r>
          </w:p>
        </w:tc>
        <w:tc>
          <w:tcPr/>
          <w:p>
            <w:pPr>
              <w:pStyle w:val="Compact"/>
            </w:pPr>
            <w:r>
              <w:t xml:space="preserve">Cloud Landing Zone, IPAM &amp; FedRAMP</w:t>
            </w:r>
          </w:p>
        </w:tc>
        <w:tc>
          <w:tcPr/>
          <w:p>
            <w:pPr>
              <w:pStyle w:val="Compact"/>
            </w:pPr>
            <w:r>
              <w:t xml:space="preserve">DDI / IPAM landing zone</w:t>
            </w:r>
          </w:p>
        </w:tc>
        <w:tc>
          <w:tcPr/>
          <w:p>
            <w:pPr>
              <w:pStyle w:val="Compact"/>
            </w:pPr>
            <w:r>
              <w:t xml:space="preserve">2 — addressing</w:t>
            </w:r>
          </w:p>
        </w:tc>
        <w:tc>
          <w:tcPr/>
          <w:p>
            <w:pPr>
              <w:pStyle w:val="Compact"/>
            </w:pPr>
            <w:r>
              <w:t xml:space="preserve">KSI-PIY</w:t>
            </w:r>
          </w:p>
        </w:tc>
      </w:tr>
      <w:tr>
        <w:tc>
          <w:tcPr/>
          <w:p>
            <w:pPr>
              <w:pStyle w:val="Compact"/>
            </w:pPr>
            <w:r>
              <w:t xml:space="preserve">02</w:t>
            </w:r>
          </w:p>
        </w:tc>
        <w:tc>
          <w:tcPr/>
          <w:p>
            <w:pPr>
              <w:pStyle w:val="Compact"/>
            </w:pPr>
            <w:r>
              <w:t xml:space="preserve">Network Access Control (802.1X)</w:t>
            </w:r>
          </w:p>
        </w:tc>
        <w:tc>
          <w:tcPr/>
          <w:p>
            <w:pPr>
              <w:pStyle w:val="Compact"/>
            </w:pPr>
            <w:r>
              <w:t xml:space="preserve">Device identity at the port</w:t>
            </w:r>
          </w:p>
        </w:tc>
        <w:tc>
          <w:tcPr/>
          <w:p>
            <w:pPr>
              <w:pStyle w:val="Compact"/>
            </w:pPr>
            <w:r>
              <w:t xml:space="preserve">(binding pending mapping refresh)</w:t>
            </w:r>
          </w:p>
        </w:tc>
        <w:tc>
          <w:tcPr/>
          <w:p>
            <w:pPr>
              <w:pStyle w:val="Compact"/>
            </w:pPr>
            <w:r>
              <w:t xml:space="preserve">KSI-CMT / KSI-IAM themes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03</w:t>
            </w:r>
          </w:p>
        </w:tc>
        <w:tc>
          <w:tcPr/>
          <w:p>
            <w:pPr>
              <w:pStyle w:val="Compact"/>
            </w:pPr>
            <w:r>
              <w:t xml:space="preserve">Certificates, Tokens &amp; Cryptographic Identity</w:t>
            </w:r>
          </w:p>
        </w:tc>
        <w:tc>
          <w:tcPr/>
          <w:p>
            <w:pPr>
              <w:pStyle w:val="Compact"/>
            </w:pPr>
            <w:r>
              <w:t xml:space="preserve">PKI, tokens, phishing-resistant MFA</w:t>
            </w:r>
          </w:p>
        </w:tc>
        <w:tc>
          <w:tcPr/>
          <w:p>
            <w:pPr>
              <w:pStyle w:val="Compact"/>
            </w:pPr>
            <w:r>
              <w:t xml:space="preserve">1 — identity</w:t>
            </w:r>
          </w:p>
        </w:tc>
        <w:tc>
          <w:tcPr/>
          <w:p>
            <w:pPr>
              <w:pStyle w:val="Compact"/>
            </w:pPr>
            <w:r>
              <w:t xml:space="preserve">KSI-IAM</w:t>
            </w:r>
          </w:p>
        </w:tc>
      </w:tr>
      <w:tr>
        <w:tc>
          <w:tcPr/>
          <w:p>
            <w:pPr>
              <w:pStyle w:val="Compact"/>
            </w:pPr>
            <w:r>
              <w:t xml:space="preserve">04</w:t>
            </w:r>
          </w:p>
        </w:tc>
        <w:tc>
          <w:tcPr/>
          <w:p>
            <w:pPr>
              <w:pStyle w:val="Compact"/>
            </w:pPr>
            <w:r>
              <w:t xml:space="preserve">HRIT Identity &amp; Org SSOT</w:t>
            </w:r>
          </w:p>
        </w:tc>
        <w:tc>
          <w:tcPr/>
          <w:p>
            <w:pPr>
              <w:pStyle w:val="Compact"/>
            </w:pPr>
            <w:r>
              <w:t xml:space="preserve">HR-driven identity lifecycle</w:t>
            </w:r>
          </w:p>
        </w:tc>
        <w:tc>
          <w:tcPr/>
          <w:p>
            <w:pPr>
              <w:pStyle w:val="Compact"/>
            </w:pPr>
            <w:r>
              <w:t xml:space="preserve">1 — identity</w:t>
            </w:r>
          </w:p>
        </w:tc>
        <w:tc>
          <w:tcPr/>
          <w:p>
            <w:pPr>
              <w:pStyle w:val="Compact"/>
            </w:pPr>
            <w:r>
              <w:t xml:space="preserve">KSI-IAM</w:t>
            </w:r>
          </w:p>
        </w:tc>
      </w:tr>
      <w:tr>
        <w:tc>
          <w:tcPr/>
          <w:p>
            <w:pPr>
              <w:pStyle w:val="Compact"/>
            </w:pPr>
            <w:r>
              <w:t xml:space="preserve">05</w:t>
            </w:r>
          </w:p>
        </w:tc>
        <w:tc>
          <w:tcPr/>
          <w:p>
            <w:pPr>
              <w:pStyle w:val="Compact"/>
            </w:pPr>
            <w:r>
              <w:t xml:space="preserve">Network Modernization</w:t>
            </w:r>
          </w:p>
        </w:tc>
        <w:tc>
          <w:tcPr/>
          <w:p>
            <w:pPr>
              <w:pStyle w:val="Compact"/>
            </w:pPr>
            <w:r>
              <w:t xml:space="preserve">SD-WAN, SASE, UC</w:t>
            </w:r>
          </w:p>
        </w:tc>
        <w:tc>
          <w:tcPr/>
          <w:p>
            <w:pPr>
              <w:pStyle w:val="Compact"/>
            </w:pPr>
            <w:r>
              <w:t xml:space="preserve">3 — network</w:t>
            </w:r>
          </w:p>
        </w:tc>
        <w:tc>
          <w:tcPr/>
          <w:p>
            <w:pPr>
              <w:pStyle w:val="Compact"/>
            </w:pPr>
            <w:r>
              <w:t xml:space="preserve">KSI-CNA</w:t>
            </w:r>
          </w:p>
        </w:tc>
      </w:tr>
      <w:tr>
        <w:tc>
          <w:tcPr/>
          <w:p>
            <w:pPr>
              <w:pStyle w:val="Compact"/>
            </w:pPr>
            <w:r>
              <w:t xml:space="preserve">06</w:t>
            </w:r>
          </w:p>
        </w:tc>
        <w:tc>
          <w:tcPr/>
          <w:p>
            <w:pPr>
              <w:pStyle w:val="Compact"/>
            </w:pPr>
            <w:r>
              <w:t xml:space="preserve">Federal Telecommunications Modernization</w:t>
            </w:r>
          </w:p>
        </w:tc>
        <w:tc>
          <w:tcPr/>
          <w:p>
            <w:pPr>
              <w:pStyle w:val="Compact"/>
            </w:pPr>
            <w:r>
              <w:t xml:space="preserve">Entra ID, ZTNA, cloud voice</w:t>
            </w:r>
          </w:p>
        </w:tc>
        <w:tc>
          <w:tcPr/>
          <w:p>
            <w:pPr>
              <w:pStyle w:val="Compact"/>
            </w:pPr>
            <w:r>
              <w:t xml:space="preserve">1 — identity</w:t>
            </w:r>
          </w:p>
        </w:tc>
        <w:tc>
          <w:tcPr/>
          <w:p>
            <w:pPr>
              <w:pStyle w:val="Compact"/>
            </w:pPr>
            <w:r>
              <w:t xml:space="preserve">KSI-IAM</w:t>
            </w:r>
          </w:p>
        </w:tc>
      </w:tr>
      <w:tr>
        <w:tc>
          <w:tcPr/>
          <w:p>
            <w:pPr>
              <w:pStyle w:val="Compact"/>
            </w:pPr>
            <w:r>
              <w:t xml:space="preserve">07</w:t>
            </w:r>
          </w:p>
        </w:tc>
        <w:tc>
          <w:tcPr/>
          <w:p>
            <w:pPr>
              <w:pStyle w:val="Compact"/>
            </w:pPr>
            <w:r>
              <w:t xml:space="preserve">SQL Server Authentication Modernization</w:t>
            </w:r>
          </w:p>
        </w:tc>
        <w:tc>
          <w:tcPr/>
          <w:p>
            <w:pPr>
              <w:pStyle w:val="Compact"/>
            </w:pPr>
            <w:r>
              <w:t xml:space="preserve">Data-platform identity</w:t>
            </w:r>
          </w:p>
        </w:tc>
        <w:tc>
          <w:tcPr/>
          <w:p>
            <w:pPr>
              <w:pStyle w:val="Compact"/>
            </w:pPr>
            <w:r>
              <w:t xml:space="preserve">1 — identity</w:t>
            </w:r>
          </w:p>
        </w:tc>
        <w:tc>
          <w:tcPr/>
          <w:p>
            <w:pPr>
              <w:pStyle w:val="Compact"/>
            </w:pPr>
            <w:r>
              <w:t xml:space="preserve">KSI-IAM</w:t>
            </w:r>
          </w:p>
        </w:tc>
      </w:tr>
      <w:tr>
        <w:tc>
          <w:tcPr/>
          <w:p>
            <w:pPr>
              <w:pStyle w:val="Compact"/>
            </w:pPr>
            <w:r>
              <w:t xml:space="preserve">08</w:t>
            </w:r>
          </w:p>
        </w:tc>
        <w:tc>
          <w:tcPr/>
          <w:p>
            <w:pPr>
              <w:pStyle w:val="Compact"/>
            </w:pPr>
            <w:r>
              <w:t xml:space="preserve">SQL Server Implementation Guide</w:t>
            </w:r>
          </w:p>
        </w:tc>
        <w:tc>
          <w:tcPr/>
          <w:p>
            <w:pPr>
              <w:pStyle w:val="Compact"/>
            </w:pPr>
            <w:r>
              <w:t xml:space="preserve">Data-platform runbook</w:t>
            </w:r>
          </w:p>
        </w:tc>
        <w:tc>
          <w:tcPr/>
          <w:p>
            <w:pPr>
              <w:pStyle w:val="Compact"/>
            </w:pPr>
            <w:r>
              <w:t xml:space="preserve">(procedural evidence for Book 07)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09</w:t>
            </w:r>
          </w:p>
        </w:tc>
        <w:tc>
          <w:tcPr/>
          <w:p>
            <w:pPr>
              <w:pStyle w:val="Compact"/>
            </w:pPr>
            <w:r>
              <w:t xml:space="preserve">Database Consolidation &amp; Network Physics</w:t>
            </w:r>
          </w:p>
        </w:tc>
        <w:tc>
          <w:tcPr/>
          <w:p>
            <w:pPr>
              <w:pStyle w:val="Compact"/>
            </w:pPr>
            <w:r>
              <w:t xml:space="preserve">Database architecture</w:t>
            </w:r>
          </w:p>
        </w:tc>
        <w:tc>
          <w:tcPr/>
          <w:p>
            <w:pPr>
              <w:pStyle w:val="Compact"/>
            </w:pPr>
            <w:r>
              <w:t xml:space="preserve">3 — network</w:t>
            </w:r>
          </w:p>
        </w:tc>
        <w:tc>
          <w:tcPr/>
          <w:p>
            <w:pPr>
              <w:pStyle w:val="Compact"/>
            </w:pPr>
            <w:r>
              <w:t xml:space="preserve">KSI-CNA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Privileged Access Management</w:t>
            </w:r>
          </w:p>
        </w:tc>
        <w:tc>
          <w:tcPr/>
          <w:p>
            <w:pPr>
              <w:pStyle w:val="Compact"/>
            </w:pPr>
            <w:r>
              <w:t xml:space="preserve">Entra PIM + PAW</w:t>
            </w:r>
          </w:p>
        </w:tc>
        <w:tc>
          <w:tcPr/>
          <w:p>
            <w:pPr>
              <w:pStyle w:val="Compact"/>
            </w:pPr>
            <w:r>
              <w:t xml:space="preserve">1 — identity; 5 — endpoint</w:t>
            </w:r>
          </w:p>
        </w:tc>
        <w:tc>
          <w:tcPr/>
          <w:p>
            <w:pPr>
              <w:pStyle w:val="Compact"/>
            </w:pPr>
            <w:r>
              <w:t xml:space="preserve">KSI-IAM, KSI-PIY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Vulnerability Management</w:t>
            </w:r>
          </w:p>
        </w:tc>
        <w:tc>
          <w:tcPr/>
          <w:p>
            <w:pPr>
              <w:pStyle w:val="Compact"/>
            </w:pPr>
            <w:r>
              <w:t xml:space="preserve">Defender VM + KEV</w:t>
            </w:r>
          </w:p>
        </w:tc>
        <w:tc>
          <w:tcPr/>
          <w:p>
            <w:pPr>
              <w:pStyle w:val="Compact"/>
            </w:pPr>
            <w:r>
              <w:t xml:space="preserve">4 — telemetry; 5 — endpoint; 6 — security</w:t>
            </w:r>
          </w:p>
        </w:tc>
        <w:tc>
          <w:tcPr/>
          <w:p>
            <w:pPr>
              <w:pStyle w:val="Compact"/>
            </w:pPr>
            <w:r>
              <w:t xml:space="preserve">KSI-MLA, KSI-PIY, KSI-CMT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Data Protection (Purview)</w:t>
            </w:r>
          </w:p>
        </w:tc>
        <w:tc>
          <w:tcPr/>
          <w:p>
            <w:pPr>
              <w:pStyle w:val="Compact"/>
            </w:pPr>
            <w:r>
              <w:t xml:space="preserve">Purview + Key Vault CMK</w:t>
            </w:r>
          </w:p>
        </w:tc>
        <w:tc>
          <w:tcPr/>
          <w:p>
            <w:pPr>
              <w:pStyle w:val="Compact"/>
            </w:pPr>
            <w:r>
              <w:t xml:space="preserve">4 — telemetry</w:t>
            </w:r>
          </w:p>
        </w:tc>
        <w:tc>
          <w:tcPr/>
          <w:p>
            <w:pPr>
              <w:pStyle w:val="Compact"/>
            </w:pPr>
            <w:r>
              <w:t xml:space="preserve">KSI-MLA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SIEM / XDR Detection</w:t>
            </w:r>
          </w:p>
        </w:tc>
        <w:tc>
          <w:tcPr/>
          <w:p>
            <w:pPr>
              <w:pStyle w:val="Compact"/>
            </w:pPr>
            <w:r>
              <w:t xml:space="preserve">Sentinel detection engineering</w:t>
            </w:r>
          </w:p>
        </w:tc>
        <w:tc>
          <w:tcPr/>
          <w:p>
            <w:pPr>
              <w:pStyle w:val="Compact"/>
            </w:pPr>
            <w:r>
              <w:t xml:space="preserve">4 — telemetry; 6 — security</w:t>
            </w:r>
          </w:p>
        </w:tc>
        <w:tc>
          <w:tcPr/>
          <w:p>
            <w:pPr>
              <w:pStyle w:val="Compact"/>
            </w:pPr>
            <w:r>
              <w:t xml:space="preserve">KSI-MLA, KSI-CMT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Business Continuity</w:t>
            </w:r>
          </w:p>
        </w:tc>
        <w:tc>
          <w:tcPr/>
          <w:p>
            <w:pPr>
              <w:pStyle w:val="Compact"/>
            </w:pPr>
            <w:r>
              <w:t xml:space="preserve">Contingency planning</w:t>
            </w:r>
          </w:p>
        </w:tc>
        <w:tc>
          <w:tcPr/>
          <w:p>
            <w:pPr>
              <w:pStyle w:val="Compact"/>
            </w:pPr>
            <w:r>
              <w:t xml:space="preserve">7 — continuity</w:t>
            </w:r>
          </w:p>
        </w:tc>
        <w:tc>
          <w:tcPr/>
          <w:p>
            <w:pPr>
              <w:pStyle w:val="Compact"/>
            </w:pPr>
            <w:r>
              <w:t xml:space="preserve">KSI-RPL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Supply Chain Risk Management</w:t>
            </w:r>
          </w:p>
        </w:tc>
        <w:tc>
          <w:tcPr/>
          <w:p>
            <w:pPr>
              <w:pStyle w:val="Compact"/>
            </w:pPr>
            <w:r>
              <w:t xml:space="preserve">SBOM, VDR/VER, BOD 26-04</w:t>
            </w:r>
          </w:p>
        </w:tc>
        <w:tc>
          <w:tcPr/>
          <w:p>
            <w:pPr>
              <w:pStyle w:val="Compact"/>
            </w:pPr>
            <w:r>
              <w:t xml:space="preserve">6 — security</w:t>
            </w:r>
          </w:p>
        </w:tc>
        <w:tc>
          <w:tcPr/>
          <w:p>
            <w:pPr>
              <w:pStyle w:val="Compact"/>
            </w:pPr>
            <w:r>
              <w:t xml:space="preserve">KSI-CMT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Program Management &amp; Governance</w:t>
            </w:r>
          </w:p>
        </w:tc>
        <w:tc>
          <w:tcPr/>
          <w:p>
            <w:pPr>
              <w:pStyle w:val="Compact"/>
            </w:pPr>
            <w:r>
              <w:t xml:space="preserve">PM charter</w:t>
            </w:r>
          </w:p>
        </w:tc>
        <w:tc>
          <w:tcPr/>
          <w:p>
            <w:pPr>
              <w:pStyle w:val="Compact"/>
            </w:pPr>
            <w:r>
              <w:t xml:space="preserve">6 — security</w:t>
            </w:r>
          </w:p>
        </w:tc>
        <w:tc>
          <w:tcPr/>
          <w:p>
            <w:pPr>
              <w:pStyle w:val="Compact"/>
            </w:pPr>
            <w:r>
              <w:t xml:space="preserve">KSI-CMT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PII Processing &amp; Transparency</w:t>
            </w:r>
          </w:p>
        </w:tc>
        <w:tc>
          <w:tcPr/>
          <w:p>
            <w:pPr>
              <w:pStyle w:val="Compact"/>
            </w:pPr>
            <w:r>
              <w:t xml:space="preserve">PT control family</w:t>
            </w:r>
          </w:p>
        </w:tc>
        <w:tc>
          <w:tcPr/>
          <w:p>
            <w:pPr>
              <w:pStyle w:val="Compact"/>
            </w:pPr>
            <w:r>
              <w:t xml:space="preserve">5 — endpoint</w:t>
            </w:r>
          </w:p>
        </w:tc>
        <w:tc>
          <w:tcPr/>
          <w:p>
            <w:pPr>
              <w:pStyle w:val="Compact"/>
            </w:pPr>
            <w:r>
              <w:t xml:space="preserve">KSI-PIY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Cybersecurity Training &amp; Awareness</w:t>
            </w:r>
          </w:p>
        </w:tc>
        <w:tc>
          <w:tcPr/>
          <w:p>
            <w:pPr>
              <w:pStyle w:val="Compact"/>
            </w:pPr>
            <w:r>
              <w:t xml:space="preserve">AT control family, LMS evidence</w:t>
            </w:r>
          </w:p>
        </w:tc>
        <w:tc>
          <w:tcPr/>
          <w:p>
            <w:pPr>
              <w:pStyle w:val="Compact"/>
            </w:pPr>
            <w:r>
              <w:t xml:space="preserve">8 — training</w:t>
            </w:r>
          </w:p>
        </w:tc>
        <w:tc>
          <w:tcPr/>
          <w:p>
            <w:pPr>
              <w:pStyle w:val="Compact"/>
            </w:pPr>
            <w:r>
              <w:t xml:space="preserve">KSI-CED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Authorization Package &amp; ConMon</w:t>
            </w:r>
          </w:p>
        </w:tc>
        <w:tc>
          <w:tcPr/>
          <w:p>
            <w:pPr>
              <w:pStyle w:val="Compact"/>
            </w:pPr>
            <w:r>
              <w:t xml:space="preserve">OSCAL AP/AR/POA&amp;M, CA family</w:t>
            </w:r>
          </w:p>
        </w:tc>
        <w:tc>
          <w:tcPr/>
          <w:p>
            <w:pPr>
              <w:pStyle w:val="Compact"/>
            </w:pPr>
            <w:r>
              <w:t xml:space="preserve">(assembles all eight slots)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p>
      <w:pPr>
        <w:pStyle w:val="BodyText"/>
      </w:pPr>
      <w:r>
        <w:t xml:space="preserve">Slot definitions, KSI categories, and NIST anchors come from the adapter’s</w:t>
      </w:r>
      <w:r>
        <w:t xml:space="preserve"> </w:t>
      </w:r>
      <w:r>
        <w:t xml:space="preserve">[mapping files]</w:t>
      </w:r>
      <w:r>
        <w:t xml:space="preserve"> </w:t>
      </w:r>
      <w:r>
        <w:t xml:space="preserve">— the same data the conformance pipeline evaluates, so the curriculum cannot</w:t>
      </w:r>
      <w:r>
        <w:t xml:space="preserve"> </w:t>
      </w:r>
      <w:r>
        <w:t xml:space="preserve">silently drift from the evidence model.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adapter’s mapping files still reference the pre-restructure numbering</w:t>
            </w:r>
            <w:r>
              <w:t xml:space="preserve"> </w:t>
            </w:r>
            <w:r>
              <w:t xml:space="preserve">and filenames and are pending refresh for the 20-book series; the slot</w:t>
            </w:r>
            <w:r>
              <w:t xml:space="preserve"> </w:t>
            </w:r>
            <w:r>
              <w:t xml:space="preserve">column above uses the books’ own stated bindings (Books 03/04 → slot 1)</w:t>
            </w:r>
            <w:r>
              <w:t xml:space="preserve"> </w:t>
            </w:r>
            <w:r>
              <w:t xml:space="preserve">plus the prior bindings translated to the new numbering.</w:t>
            </w:r>
          </w:p>
          <w:p/>
        </w:tc>
      </w:tr>
    </w:tbl>
    <w:bookmarkEnd w:id="25"/>
    <w:bookmarkStart w:id="26" w:name="program-structure"/>
    <w:p>
      <w:pPr>
        <w:pStyle w:val="Heading2"/>
      </w:pPr>
      <w:r>
        <w:t xml:space="preserve">Program structure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Orientation (both tracks)</w:t>
      </w:r>
      <w:r>
        <w:t xml:space="preserve"> </w:t>
      </w:r>
      <w:r>
        <w:t xml:space="preserve">— read Book 00 and the</w:t>
      </w:r>
      <w:r>
        <w:t xml:space="preserve"> </w:t>
      </w:r>
      <w:r>
        <w:t xml:space="preserve">[gap roadmap];</w:t>
      </w:r>
      <w:r>
        <w:t xml:space="preserve"> </w:t>
      </w:r>
      <w:r>
        <w:t xml:space="preserve">understand the FedRAMP 20x timeline (Class A opens August 3, 2026; 20x</w:t>
      </w:r>
      <w:r>
        <w:t xml:space="preserve"> </w:t>
      </w:r>
      <w:r>
        <w:t xml:space="preserve">mandatory January 2027; BOD 26-04 VDR/VER due December 7, 2026).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Pick a track</w:t>
      </w:r>
      <w:r>
        <w:t xml:space="preserve"> </w:t>
      </w:r>
      <w:r>
        <w:t xml:space="preserve">— Track A Compliance or</w:t>
      </w:r>
      <w:r>
        <w:t xml:space="preserve"> </w:t>
      </w:r>
      <w:r>
        <w:t xml:space="preserve">Track B Implementation. The tracks share the</w:t>
      </w:r>
      <w:r>
        <w:t xml:space="preserve"> </w:t>
      </w:r>
      <w:r>
        <w:t xml:space="preserve">corpus but read it differently: Track A reads books as</w:t>
      </w:r>
      <w:r>
        <w:t xml:space="preserve"> </w:t>
      </w:r>
      <w:r>
        <w:rPr>
          <w:i/>
          <w:iCs/>
        </w:rPr>
        <w:t xml:space="preserve">control-closure</w:t>
      </w:r>
      <w:r>
        <w:rPr>
          <w:i/>
          <w:iCs/>
        </w:rPr>
        <w:t xml:space="preserve"> </w:t>
      </w:r>
      <w:r>
        <w:rPr>
          <w:i/>
          <w:iCs/>
        </w:rPr>
        <w:t xml:space="preserve">evidence</w:t>
      </w:r>
      <w:r>
        <w:t xml:space="preserve">; Track B reads them as</w:t>
      </w:r>
      <w:r>
        <w:t xml:space="preserve"> </w:t>
      </w:r>
      <w:r>
        <w:rPr>
          <w:i/>
          <w:iCs/>
        </w:rPr>
        <w:t xml:space="preserve">build instructions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Supplement with vendor training</w:t>
      </w:r>
      <w:r>
        <w:t xml:space="preserve"> </w:t>
      </w:r>
      <w:r>
        <w:t xml:space="preserve">— each module points into the</w:t>
      </w:r>
      <w:r>
        <w:t xml:space="preserve"> </w:t>
      </w:r>
      <w:r>
        <w:t xml:space="preserve">vendor training catalog for the underlying</w:t>
      </w:r>
      <w:r>
        <w:t xml:space="preserve"> </w:t>
      </w:r>
      <w:r>
        <w:t xml:space="preserve">product skills (Entra, Sentinel, Purview, Infoblox DDI, SD-WAN, …).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Capstone (both tracks)</w:t>
      </w:r>
      <w:r>
        <w:t xml:space="preserve"> </w:t>
      </w:r>
      <w:r>
        <w:t xml:space="preserve">— produce or evaluate a KSI evidence bundle</w:t>
      </w:r>
      <w:r>
        <w:t xml:space="preserve"> </w:t>
      </w:r>
      <w:r>
        <w:t xml:space="preserve">with the engine CLI (</w:t>
      </w:r>
      <w:r>
        <w:rPr>
          <w:rStyle w:val="VerbatimChar"/>
        </w:rPr>
        <w:t xml:space="preserve">&lt;engine&gt; ksi evaluate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&lt;engine&gt; oscal ksi-ar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&lt;engine&gt; oscal generate</w:t>
      </w:r>
      <w:r>
        <w:t xml:space="preserve">) against the eight Compliance evidence slots.</w:t>
      </w:r>
    </w:p>
    <w:bookmarkEnd w:id="26"/>
    <w:bookmarkStart w:id="27" w:name="core-aan-pathway"/>
    <w:p>
      <w:pPr>
        <w:pStyle w:val="Heading2"/>
      </w:pPr>
      <w:r>
        <w:t xml:space="preserve">The Core Compliance Pathway</w:t>
      </w:r>
    </w:p>
    <w:p>
      <w:pPr>
        <w:pStyle w:val="FirstParagraph"/>
      </w:pPr>
      <w:r>
        <w:t xml:space="preserve">The full program walks all 20 books; most ISSOs and engineers should</w:t>
      </w:r>
      <w:r>
        <w:t xml:space="preserve"> </w:t>
      </w:r>
      <w:r>
        <w:rPr>
          <w:b/>
          <w:bCs/>
        </w:rPr>
        <w:t xml:space="preserve">start with the nine-book spine</w:t>
      </w:r>
      <w:r>
        <w:t xml:space="preserve"> </w:t>
      </w:r>
      <w:r>
        <w:t xml:space="preserve">below, which feeds six of the eight</w:t>
      </w:r>
      <w:r>
        <w:t xml:space="preserve"> </w:t>
      </w:r>
      <w:r>
        <w:t xml:space="preserve">evidence slots directly and exercises both capstone surfaces: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Module page</w:t>
            </w:r>
          </w:p>
        </w:tc>
        <w:tc>
          <w:tcPr/>
          <w:p>
            <w:pPr>
              <w:pStyle w:val="Compact"/>
            </w:pPr>
            <w:r>
              <w:t xml:space="preserve">Why it is in the spine</w:t>
            </w:r>
          </w:p>
        </w:tc>
        <w:tc>
          <w:tcPr/>
          <w:p>
            <w:pPr>
              <w:pStyle w:val="Compact"/>
            </w:pPr>
            <w:r>
              <w:t xml:space="preserve">Slot(s) fed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00</w:t>
            </w:r>
          </w:p>
        </w:tc>
        <w:tc>
          <w:tcPr/>
          <w:p>
            <w:pPr>
              <w:pStyle w:val="Compact"/>
            </w:pPr>
            <w:r>
              <w:t xml:space="preserve">Executive Summary</w:t>
            </w:r>
          </w:p>
        </w:tc>
        <w:tc>
          <w:tcPr/>
          <w:p>
            <w:pPr>
              <w:pStyle w:val="Compact"/>
            </w:pPr>
            <w:r>
              <w:t xml:space="preserve">The argument and the deadline map</w:t>
            </w:r>
          </w:p>
        </w:tc>
        <w:tc>
          <w:tcPr/>
          <w:p>
            <w:pPr>
              <w:pStyle w:val="Compact"/>
            </w:pPr>
            <w:r>
              <w:t xml:space="preserve">— (orientation)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01</w:t>
            </w:r>
          </w:p>
        </w:tc>
        <w:tc>
          <w:tcPr/>
          <w:p>
            <w:pPr>
              <w:pStyle w:val="Compact"/>
            </w:pPr>
            <w:r>
              <w:t xml:space="preserve">Cloud Landing Zone, IPAM &amp; FedRAMP</w:t>
            </w:r>
          </w:p>
        </w:tc>
        <w:tc>
          <w:tcPr/>
          <w:p>
            <w:pPr>
              <w:pStyle w:val="Compact"/>
            </w:pPr>
            <w:r>
              <w:t xml:space="preserve">Addressing is the dependency everything else assumes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03</w:t>
            </w:r>
          </w:p>
        </w:tc>
        <w:tc>
          <w:tcPr/>
          <w:p>
            <w:pPr>
              <w:pStyle w:val="Compact"/>
            </w:pPr>
            <w:r>
              <w:t xml:space="preserve">Certificates, Tokens &amp; Cryptographic Identity</w:t>
            </w:r>
          </w:p>
        </w:tc>
        <w:tc>
          <w:tcPr/>
          <w:p>
            <w:pPr>
              <w:pStyle w:val="Compact"/>
            </w:pPr>
            <w:r>
              <w:t xml:space="preserve">The credential plane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04</w:t>
            </w:r>
          </w:p>
        </w:tc>
        <w:tc>
          <w:tcPr/>
          <w:p>
            <w:pPr>
              <w:pStyle w:val="Compact"/>
            </w:pPr>
            <w:r>
              <w:t xml:space="preserve">HRIT Identity &amp; Org SSOT</w:t>
            </w:r>
          </w:p>
        </w:tc>
        <w:tc>
          <w:tcPr/>
          <w:p>
            <w:pPr>
              <w:pStyle w:val="Compact"/>
            </w:pPr>
            <w:r>
              <w:t xml:space="preserve">The lifecycle source of truth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05</w:t>
            </w:r>
          </w:p>
        </w:tc>
        <w:tc>
          <w:tcPr/>
          <w:p>
            <w:pPr>
              <w:pStyle w:val="Compact"/>
            </w:pPr>
            <w:r>
              <w:t xml:space="preserve">Network Modernization</w:t>
            </w:r>
          </w:p>
        </w:tc>
        <w:tc>
          <w:tcPr/>
          <w:p>
            <w:pPr>
              <w:pStyle w:val="Compact"/>
            </w:pPr>
            <w:r>
              <w:t xml:space="preserve">The application-aware transport argument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Privileged Access Management</w:t>
            </w:r>
          </w:p>
        </w:tc>
        <w:tc>
          <w:tcPr/>
          <w:p>
            <w:pPr>
              <w:pStyle w:val="Compact"/>
            </w:pPr>
            <w:r>
              <w:t xml:space="preserve">The highest-blast-radius identity surface</w:t>
            </w:r>
          </w:p>
        </w:tc>
        <w:tc>
          <w:tcPr/>
          <w:p>
            <w:pPr>
              <w:pStyle w:val="Compact"/>
            </w:pPr>
            <w:r>
              <w:t xml:space="preserve">1, 5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Vulnerability Management</w:t>
            </w:r>
          </w:p>
        </w:tc>
        <w:tc>
          <w:tcPr/>
          <w:p>
            <w:pPr>
              <w:pStyle w:val="Compact"/>
            </w:pPr>
            <w:r>
              <w:t xml:space="preserve">The KEV-driven telemetry spine</w:t>
            </w:r>
          </w:p>
        </w:tc>
        <w:tc>
          <w:tcPr/>
          <w:p>
            <w:pPr>
              <w:pStyle w:val="Compact"/>
            </w:pPr>
            <w:r>
              <w:t xml:space="preserve">4, 5, 6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SIEM / XDR Detection</w:t>
            </w:r>
          </w:p>
        </w:tc>
        <w:tc>
          <w:tcPr/>
          <w:p>
            <w:pPr>
              <w:pStyle w:val="Compact"/>
            </w:pPr>
            <w:r>
              <w:t xml:space="preserve">Detection engineering closes the telemetry loop</w:t>
            </w:r>
          </w:p>
        </w:tc>
        <w:tc>
          <w:tcPr/>
          <w:p>
            <w:pPr>
              <w:pStyle w:val="Compact"/>
            </w:pPr>
            <w:r>
              <w:t xml:space="preserve">4, 6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Authorization Package &amp; ConMon</w:t>
            </w:r>
          </w:p>
        </w:tc>
        <w:tc>
          <w:tcPr/>
          <w:p>
            <w:pPr>
              <w:pStyle w:val="Compact"/>
            </w:pPr>
            <w:r>
              <w:t xml:space="preserve">Assembles everything into the package</w:t>
            </w:r>
          </w:p>
        </w:tc>
        <w:tc>
          <w:tcPr/>
          <w:p>
            <w:pPr>
              <w:pStyle w:val="Compact"/>
            </w:pPr>
            <w:r>
              <w:t xml:space="preserve">(assembles all)</w:t>
            </w:r>
          </w:p>
        </w:tc>
      </w:tr>
    </w:tbl>
    <w:p>
      <w:pPr>
        <w:pStyle w:val="BodyText"/>
      </w:pPr>
      <w:r>
        <w:t xml:space="preserve">Pair the spine with the four scripted labs</w:t>
      </w:r>
      <w:r>
        <w:t xml:space="preserve"> </w:t>
      </w:r>
      <w:r>
        <w:t xml:space="preserve">(DDI, PIM,</w:t>
      </w:r>
      <w:r>
        <w:t xml:space="preserve"> </w:t>
      </w:r>
      <w:r>
        <w:t xml:space="preserve">Sentinel, Purview).</w:t>
      </w:r>
    </w:p>
    <w:p>
      <w:pPr>
        <w:pStyle w:val="BodyText"/>
      </w:pPr>
      <w:r>
        <w:t xml:space="preserve">The pathway is a</w:t>
      </w:r>
      <w:r>
        <w:t xml:space="preserve"> </w:t>
      </w:r>
      <w:r>
        <w:rPr>
          <w:b/>
          <w:bCs/>
        </w:rPr>
        <w:t xml:space="preserve">starting sequence, not a credential path</w:t>
      </w:r>
      <w:r>
        <w:t xml:space="preserve">: slots 7</w:t>
      </w:r>
      <w:r>
        <w:t xml:space="preserve"> </w:t>
      </w:r>
      <w:r>
        <w:t xml:space="preserve">(continuity — Book 14) and 8 (training — Book 18), the supply-chain depth</w:t>
      </w:r>
      <w:r>
        <w:t xml:space="preserve"> </w:t>
      </w:r>
      <w:r>
        <w:t xml:space="preserve">of Book 15, and the full capstones still come from the complete tracks,</w:t>
      </w:r>
      <w:r>
        <w:t xml:space="preserve"> </w:t>
      </w:r>
      <w:r>
        <w:t xml:space="preserve">and the Track A pass bar remains all eight slots. Read the spine, run the</w:t>
      </w:r>
      <w:r>
        <w:t xml:space="preserve"> </w:t>
      </w:r>
      <w:r>
        <w:t xml:space="preserve">labs, then finish the track you belong to.</w:t>
      </w:r>
    </w:p>
    <w:bookmarkEnd w:id="27"/>
    <w:bookmarkStart w:id="28" w:name="tooling-stack"/>
    <w:p>
      <w:pPr>
        <w:pStyle w:val="Heading2"/>
      </w:pPr>
      <w:r>
        <w:t xml:space="preserve">The</w:t>
      </w:r>
      <w:r>
        <w:t xml:space="preserve"> </w:t>
      </w:r>
      <w:r>
        <w:rPr>
          <w:rStyle w:val="VerbatimChar"/>
        </w:rPr>
        <w:t xml:space="preserve">&lt;engine&gt;</w:t>
      </w:r>
      <w:r>
        <w:t xml:space="preserve"> </w:t>
      </w:r>
      <w:r>
        <w:t xml:space="preserve">token — what the commands run</w:t>
      </w:r>
    </w:p>
    <w:p>
      <w:pPr>
        <w:pStyle w:val="FirstParagraph"/>
      </w:pPr>
      <w:r>
        <w:t xml:space="preserve">Every command block in this program writes</w:t>
      </w:r>
      <w:r>
        <w:t xml:space="preserve"> </w:t>
      </w:r>
      <w:r>
        <w:rPr>
          <w:rStyle w:val="VerbatimChar"/>
        </w:rPr>
        <w:t xml:space="preserve">&lt;engine&gt;</w:t>
      </w:r>
      <w:r>
        <w:t xml:space="preserve"> </w:t>
      </w:r>
      <w:r>
        <w:t xml:space="preserve">where a CLI name</w:t>
      </w:r>
      <w:r>
        <w:t xml:space="preserve"> </w:t>
      </w:r>
      <w:r>
        <w:t xml:space="preserve">would go. It is a</w:t>
      </w:r>
      <w:r>
        <w:t xml:space="preserve"> </w:t>
      </w:r>
      <w:r>
        <w:rPr>
          <w:b/>
          <w:bCs/>
        </w:rPr>
        <w:t xml:space="preserve">substitution token, not a product</w:t>
      </w:r>
      <w:r>
        <w:t xml:space="preserve">: the program is</w:t>
      </w:r>
      <w:r>
        <w:t xml:space="preserve"> </w:t>
      </w:r>
      <w:r>
        <w:t xml:space="preserve">engine-neutral, and the commands are defined by the</w:t>
      </w:r>
      <w:r>
        <w:t xml:space="preserve"> </w:t>
      </w:r>
      <w:r>
        <w:t xml:space="preserve">[Compliance Evidence &amp; Authorization Contract]</w:t>
      </w:r>
      <w:r>
        <w:t xml:space="preserve"> </w:t>
      </w:r>
      <w:r>
        <w:t xml:space="preserve">— the open specification (compliance spine + eight evidence slots + OSCAL</w:t>
      </w:r>
      <w:r>
        <w:t xml:space="preserve"> </w:t>
      </w:r>
      <w:r>
        <w:t xml:space="preserve">AP/AR/POA&amp;M boundary) that any conformant evidence engine can satisfy.</w:t>
      </w:r>
      <w:r>
        <w:t xml:space="preserve"> </w:t>
      </w:r>
      <w:r>
        <w:t xml:space="preserve">Substitute the CLI name of whichever conformant engine your agency runs.</w:t>
      </w:r>
    </w:p>
    <w:p>
      <w:pPr>
        <w:pStyle w:val="BodyText"/>
      </w:pPr>
      <w:r>
        <w:t xml:space="preserve">The three commands the capstones need: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What you get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&lt;engine&gt; ksi evaluate --ir &lt;file&gt; --out &lt;file&gt;</w:t>
            </w:r>
          </w:p>
        </w:tc>
        <w:tc>
          <w:tcPr/>
          <w:p>
            <w:pPr>
              <w:pStyle w:val="Compact"/>
            </w:pPr>
            <w:r>
              <w:t xml:space="preserve">Evaluates a machine-readable evidence (IR) file against the KSI rules</w:t>
            </w:r>
          </w:p>
        </w:tc>
        <w:tc>
          <w:tcPr/>
          <w:p>
            <w:pPr>
              <w:pStyle w:val="Compact"/>
            </w:pPr>
            <w:r>
              <w:t xml:space="preserve">Per-rule verdicts (the raw scoring pass)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&lt;engine&gt; oscal ksi-ar --output &lt;file&gt;</w:t>
            </w:r>
          </w:p>
        </w:tc>
        <w:tc>
          <w:tcPr/>
          <w:p>
            <w:pPr>
              <w:pStyle w:val="Compact"/>
            </w:pPr>
            <w:r>
              <w:t xml:space="preserve">Builds Assessment Results from the eight Compliance slot evidence bindings</w:t>
            </w:r>
          </w:p>
        </w:tc>
        <w:tc>
          <w:tcPr/>
          <w:p>
            <w:pPr>
              <w:pStyle w:val="Compact"/>
            </w:pPr>
            <w:r>
              <w:t xml:space="preserve">Per-KSI satisfied / not-satisfied / not-evaluated verdicts — the artifact both capstones require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&lt;engine&gt; oscal generate</w:t>
            </w:r>
          </w:p>
        </w:tc>
        <w:tc>
          <w:tcPr/>
          <w:p>
            <w:pPr>
              <w:pStyle w:val="Compact"/>
            </w:pPr>
            <w:r>
              <w:t xml:space="preserve">Generates the OSCAL package documents from an evidence bundle</w:t>
            </w:r>
          </w:p>
        </w:tc>
        <w:tc>
          <w:tcPr/>
          <w:p>
            <w:pPr>
              <w:pStyle w:val="Compact"/>
            </w:pPr>
            <w:r>
              <w:t xml:space="preserve">SSP / POA&amp;M material for the Book 19 assembly</w:t>
            </w:r>
          </w:p>
        </w:tc>
      </w:tr>
    </w:tbl>
    <w:p>
      <w:pPr>
        <w:pStyle w:val="BodyText"/>
      </w:pPr>
      <w:r>
        <w:rPr>
          <w:b/>
          <w:bCs/>
        </w:rPr>
        <w:t xml:space="preserve">What Tier F actually runs:</w:t>
      </w:r>
      <w:r>
        <w:t xml:space="preserve"> </w:t>
      </w:r>
      <w:r>
        <w:t xml:space="preserve">the host repository that publishes these</w:t>
      </w:r>
      <w:r>
        <w:t xml:space="preserve"> </w:t>
      </w:r>
      <w:r>
        <w:t xml:space="preserve">pages ships a reference engine satisfying the contract, alongside the</w:t>
      </w:r>
      <w:r>
        <w:t xml:space="preserve"> </w:t>
      </w:r>
      <w:r>
        <w:t xml:space="preserve">[slot mapping files]</w:t>
      </w:r>
      <w:r>
        <w:t xml:space="preserve"> </w:t>
      </w:r>
      <w:r>
        <w:t xml:space="preserve">the curriculum is derived from. The fixture path is: clone the</w:t>
      </w:r>
      <w:r>
        <w:t xml:space="preserve"> </w:t>
      </w:r>
      <w:r>
        <w:t xml:space="preserve">repository, install the reference engine per its README, substitute its</w:t>
      </w:r>
      <w:r>
        <w:t xml:space="preserve"> </w:t>
      </w:r>
      <w:r>
        <w:t xml:space="preserve">CLI name for</w:t>
      </w:r>
      <w:r>
        <w:t xml:space="preserve"> </w:t>
      </w:r>
      <w:r>
        <w:rPr>
          <w:rStyle w:val="VerbatimChar"/>
        </w:rPr>
        <w:t xml:space="preserve">&lt;engine&gt;</w:t>
      </w:r>
      <w:r>
        <w:t xml:space="preserve">, and run the three commands above — no cloud</w:t>
      </w:r>
      <w:r>
        <w:t xml:space="preserve"> </w:t>
      </w:r>
      <w:r>
        <w:t xml:space="preserve">footprint required (see the lab tiers).</w:t>
      </w:r>
    </w:p>
    <w:bookmarkEnd w:id="28"/>
    <w:bookmarkStart w:id="29" w:name="completion-criteria"/>
    <w:p>
      <w:pPr>
        <w:pStyle w:val="Heading2"/>
      </w:pPr>
      <w:r>
        <w:t xml:space="preserve">Completion criteria</w:t>
      </w:r>
    </w:p>
    <w:p>
      <w:pPr>
        <w:pStyle w:val="FirstParagraph"/>
      </w:pPr>
      <w:r>
        <w:t xml:space="preserve">Borrowing the pattern of the reference implementation’s training program (no parallel</w:t>
      </w:r>
      <w:r>
        <w:t xml:space="preserve"> </w:t>
      </w:r>
      <w:r>
        <w:t xml:space="preserve">certification system), without being part of that program: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Track A</w:t>
      </w:r>
      <w:r>
        <w:t xml:space="preserve"> </w:t>
      </w:r>
      <w:r>
        <w:t xml:space="preserve">— a clean walk of all eight slot mappings: for each slot, name</w:t>
      </w:r>
      <w:r>
        <w:t xml:space="preserve"> </w:t>
      </w:r>
      <w:r>
        <w:t xml:space="preserve">the books that feed it, the KSI category that evaluates it, and produce a</w:t>
      </w:r>
      <w:r>
        <w:t xml:space="preserve"> </w:t>
      </w:r>
      <w:r>
        <w:rPr>
          <w:rStyle w:val="VerbatimChar"/>
        </w:rPr>
        <w:t xml:space="preserve">&lt;engine&gt; oscal ksi-ar</w:t>
      </w:r>
      <w:r>
        <w:t xml:space="preserve"> </w:t>
      </w:r>
      <w:r>
        <w:t xml:space="preserve">run showing each KSI verdict (satisfied /</w:t>
      </w:r>
      <w:r>
        <w:t xml:space="preserve"> </w:t>
      </w:r>
      <w:r>
        <w:t xml:space="preserve">not-satisfied / not-evaluated), with a short written gap statement for</w:t>
      </w:r>
      <w:r>
        <w:t xml:space="preserve"> </w:t>
      </w:r>
      <w:r>
        <w:t xml:space="preserve">anything not yet evaluable.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Track B</w:t>
      </w:r>
      <w:r>
        <w:t xml:space="preserve"> </w:t>
      </w:r>
      <w:r>
        <w:t xml:space="preserve">— implement (or lab-simulate) one module end-to-end and land</w:t>
      </w:r>
      <w:r>
        <w:t xml:space="preserve"> </w:t>
      </w:r>
      <w:r>
        <w:t xml:space="preserve">its evidence artifact where the slot mappings can bind it, verified by</w:t>
      </w:r>
      <w:r>
        <w:t xml:space="preserve"> </w:t>
      </w:r>
      <w:r>
        <w:t xml:space="preserve">regenerating the KSI Assessment Results (</w:t>
      </w:r>
      <w:r>
        <w:rPr>
          <w:rStyle w:val="VerbatimChar"/>
        </w:rPr>
        <w:t xml:space="preserve">&lt;engine&gt; oscal ksi-ar</w:t>
      </w:r>
      <w:r>
        <w:t xml:space="preserve">) and seeing</w:t>
      </w:r>
      <w:r>
        <w:t xml:space="preserve"> </w:t>
      </w:r>
      <w:r>
        <w:t xml:space="preserve">the slot’s verdict reflect the new evidence.</w:t>
      </w:r>
    </w:p>
    <w:bookmarkEnd w:id="29"/>
    <w:bookmarkStart w:id="30" w:name="expansion-roadmap"/>
    <w:p>
      <w:pPr>
        <w:pStyle w:val="Heading2"/>
      </w:pPr>
      <w:r>
        <w:t xml:space="preserve">Expansion roadmap</w:t>
      </w:r>
    </w:p>
    <w:p>
      <w:pPr>
        <w:pStyle w:val="FirstParagraph"/>
      </w:pPr>
      <w:r>
        <w:t xml:space="preserve">Planned growth as research continues (tracked in ordinary PRs against this</w:t>
      </w:r>
      <w:r>
        <w:t xml:space="preserve"> </w:t>
      </w:r>
      <w:r>
        <w:t xml:space="preserve">directory):</w:t>
      </w:r>
    </w:p>
    <w:p>
      <w:pPr>
        <w:pStyle w:val="Compact"/>
        <w:numPr>
          <w:ilvl w:val="0"/>
          <w:numId w:val="1004"/>
        </w:numPr>
      </w:pPr>
      <w:r>
        <w:t xml:space="preserve">✅</w:t>
      </w:r>
      <w:r>
        <w:t xml:space="preserve"> </w:t>
      </w:r>
      <w:r>
        <w:rPr>
          <w:b/>
          <w:bCs/>
        </w:rPr>
        <w:t xml:space="preserve">Per-book module pages</w:t>
      </w:r>
      <w:r>
        <w:t xml:space="preserve"> </w:t>
      </w:r>
      <w:r>
        <w:t xml:space="preserve">— shipped: all 20 books have module pages</w:t>
      </w:r>
      <w:r>
        <w:t xml:space="preserve"> </w:t>
      </w:r>
      <w:r>
        <w:t xml:space="preserve">(see the table above) with objectives, key concepts, implementation</w:t>
      </w:r>
      <w:r>
        <w:t xml:space="preserve"> </w:t>
      </w:r>
      <w:r>
        <w:t xml:space="preserve">sequence, labs, and pitfalls derived from the manuscripts. Next</w:t>
      </w:r>
      <w:r>
        <w:t xml:space="preserve"> </w:t>
      </w:r>
      <w:r>
        <w:t xml:space="preserve">iteration: reading checkpoints and quiz items.</w:t>
      </w:r>
    </w:p>
    <w:p>
      <w:pPr>
        <w:pStyle w:val="Compact"/>
        <w:numPr>
          <w:ilvl w:val="0"/>
          <w:numId w:val="1004"/>
        </w:numPr>
      </w:pPr>
      <w:r>
        <w:t xml:space="preserve">✅</w:t>
      </w:r>
      <w:r>
        <w:t xml:space="preserve"> </w:t>
      </w:r>
      <w:r>
        <w:rPr>
          <w:b/>
          <w:bCs/>
        </w:rPr>
        <w:t xml:space="preserve">Vendor catalog verification</w:t>
      </w:r>
      <w:r>
        <w:t xml:space="preserve"> </w:t>
      </w:r>
      <w:r>
        <w:t xml:space="preserve">— first research pass complete: the</w:t>
      </w:r>
      <w:r>
        <w:t xml:space="preserve"> </w:t>
      </w:r>
      <w:r>
        <w:t xml:space="preserve">original research-queue vendors (Zscaler, Netskope, ServiceNow, Linux</w:t>
      </w:r>
      <w:r>
        <w:t xml:space="preserve"> </w:t>
      </w:r>
      <w:r>
        <w:t xml:space="preserve">Foundation/OpenSSF, ISACA, IAPP, Tenable, Qualys) are now catalog rows</w:t>
      </w:r>
      <w:r>
        <w:t xml:space="preserve"> </w:t>
      </w:r>
      <w:r>
        <w:t xml:space="preserve">with verified training-portal URLs.</w:t>
      </w:r>
    </w:p>
    <w:p>
      <w:pPr>
        <w:pStyle w:val="Compact"/>
        <w:numPr>
          <w:ilvl w:val="0"/>
          <w:numId w:val="1004"/>
        </w:numPr>
      </w:pPr>
      <w:r>
        <w:t xml:space="preserve">✅</w:t>
      </w:r>
      <w:r>
        <w:t xml:space="preserve"> </w:t>
      </w:r>
      <w:r>
        <w:rPr>
          <w:b/>
          <w:bCs/>
        </w:rPr>
        <w:t xml:space="preserve">Lab environments</w:t>
      </w:r>
      <w:r>
        <w:t xml:space="preserve"> </w:t>
      </w:r>
      <w:r>
        <w:t xml:space="preserve">— shipped: the lab hub with</w:t>
      </w:r>
      <w:r>
        <w:t xml:space="preserve"> </w:t>
      </w:r>
      <w:r>
        <w:t xml:space="preserve">scripted setups for DDI (B1), PIM</w:t>
      </w:r>
      <w:r>
        <w:t xml:space="preserve"> </w:t>
      </w:r>
      <w:r>
        <w:t xml:space="preserve">(B5), Sentinel</w:t>
      </w:r>
      <w:r>
        <w:t xml:space="preserve"> </w:t>
      </w:r>
      <w:r>
        <w:t xml:space="preserve">(B6), and Purview</w:t>
      </w:r>
      <w:r>
        <w:t xml:space="preserve"> </w:t>
      </w:r>
      <w:r>
        <w:t xml:space="preserve">(B6), tiered fixture / trial-tenant /</w:t>
      </w:r>
      <w:r>
        <w:t xml:space="preserve"> </w:t>
      </w:r>
      <w:r>
        <w:t xml:space="preserve">product-eval. Next iteration: B2 access/identity and B3 SD-WAN</w:t>
      </w:r>
      <w:r>
        <w:t xml:space="preserve"> </w:t>
      </w:r>
      <w:r>
        <w:t xml:space="preserve">eval-gear labs.</w:t>
      </w:r>
    </w:p>
    <w:p>
      <w:pPr>
        <w:pStyle w:val="Compact"/>
        <w:numPr>
          <w:ilvl w:val="0"/>
          <w:numId w:val="1004"/>
        </w:numPr>
      </w:pPr>
      <w:r>
        <w:t xml:space="preserve">✅</w:t>
      </w:r>
      <w:r>
        <w:t xml:space="preserve"> </w:t>
      </w:r>
      <w:r>
        <w:rPr>
          <w:b/>
          <w:bCs/>
        </w:rPr>
        <w:t xml:space="preserve">Assessment rubrics</w:t>
      </w:r>
      <w:r>
        <w:t xml:space="preserve"> </w:t>
      </w:r>
      <w:r>
        <w:t xml:space="preserve">— shipped:</w:t>
      </w:r>
      <w:r>
        <w:t xml:space="preserve"> </w:t>
      </w:r>
      <w:r>
        <w:t xml:space="preserve">per-slot scoring sheets for the Track A</w:t>
      </w:r>
      <w:r>
        <w:t xml:space="preserve"> </w:t>
      </w:r>
      <w:r>
        <w:t xml:space="preserve">capstone with a four-level scale and explicit pass bar.</w:t>
      </w:r>
    </w:p>
    <w:p>
      <w:pPr>
        <w:pStyle w:val="Compact"/>
        <w:numPr>
          <w:ilvl w:val="0"/>
          <w:numId w:val="1004"/>
        </w:numPr>
      </w:pPr>
      <w:r>
        <w:t xml:space="preserve">✅</w:t>
      </w:r>
      <w:r>
        <w:t xml:space="preserve"> </w:t>
      </w:r>
      <w:r>
        <w:rPr>
          <w:b/>
          <w:bCs/>
        </w:rPr>
        <w:t xml:space="preserve">Corpus sync (July 2026)</w:t>
      </w:r>
      <w:r>
        <w:t xml:space="preserve"> </w:t>
      </w:r>
      <w:r>
        <w:t xml:space="preserve">— Books 18 (Training &amp; Awareness) and 19</w:t>
      </w:r>
      <w:r>
        <w:t xml:space="preserve"> </w:t>
      </w:r>
      <w:r>
        <w:t xml:space="preserve">(Authorization Package &amp; ConMon) joined the corpus; slot 8 — training</w:t>
      </w:r>
      <w:r>
        <w:t xml:space="preserve"> </w:t>
      </w:r>
      <w:r>
        <w:t xml:space="preserve">(KSI-CED) joined the evidence model, taking the series’ internal 29-rule KSI decomposition to fully evaluable. Module pages, tracks, rubrics, and figures updated.</w:t>
      </w:r>
    </w:p>
    <w:p>
      <w:pPr>
        <w:pStyle w:val="Compact"/>
        <w:numPr>
          <w:ilvl w:val="0"/>
          <w:numId w:val="1004"/>
        </w:numPr>
      </w:pPr>
      <w:r>
        <w:t xml:space="preserve">✅</w:t>
      </w:r>
      <w:r>
        <w:t xml:space="preserve"> </w:t>
      </w:r>
      <w:r>
        <w:rPr>
          <w:b/>
          <w:bCs/>
        </w:rPr>
        <w:t xml:space="preserve">Series restructure sync (July 2026)</w:t>
      </w:r>
      <w:r>
        <w:t xml:space="preserve"> </w:t>
      </w:r>
      <w:r>
        <w:t xml:space="preserve">— resynced to the 20-book</w:t>
      </w:r>
      <w:r>
        <w:t xml:space="preserve"> </w:t>
      </w:r>
      <w:r>
        <w:t xml:space="preserve">Compliance series: three new early books (02 Network Access Control,</w:t>
      </w:r>
      <w:r>
        <w:t xml:space="preserve"> </w:t>
      </w:r>
      <w:r>
        <w:t xml:space="preserve">03 Certificates/Tokens, 04 HRIT Identity &amp; Org SSOT), all downstream</w:t>
      </w:r>
      <w:r>
        <w:t xml:space="preserve"> </w:t>
      </w:r>
      <w:r>
        <w:t xml:space="preserve">books renumbered (+3), filenames moved to the</w:t>
      </w:r>
      <w:r>
        <w:t xml:space="preserve"> </w:t>
      </w:r>
      <w:r>
        <w:rPr>
          <w:rStyle w:val="VerbatimChar"/>
        </w:rPr>
        <w:t xml:space="preserve">Compliance_</w:t>
      </w:r>
      <w:r>
        <w:t xml:space="preserve"> </w:t>
      </w:r>
      <w:r>
        <w:t xml:space="preserve">scheme, module</w:t>
      </w:r>
      <w:r>
        <w:t xml:space="preserve"> </w:t>
      </w:r>
      <w:r>
        <w:t xml:space="preserve">pages/tracks/figures/rubrics/bundle regenerated.</w:t>
      </w:r>
    </w:p>
    <w:p>
      <w:pPr>
        <w:pStyle w:val="Compact"/>
        <w:numPr>
          <w:ilvl w:val="0"/>
          <w:numId w:val="1004"/>
        </w:numPr>
      </w:pPr>
      <w:r>
        <w:t xml:space="preserve">✅</w:t>
      </w:r>
      <w:r>
        <w:t xml:space="preserve"> </w:t>
      </w:r>
      <w:r>
        <w:rPr>
          <w:b/>
          <w:bCs/>
        </w:rPr>
        <w:t xml:space="preserve">External-evaluation response (July 2026)</w:t>
      </w:r>
      <w:r>
        <w:t xml:space="preserve"> </w:t>
      </w:r>
      <w:r>
        <w:t xml:space="preserve">— the program was</w:t>
      </w:r>
      <w:r>
        <w:t xml:space="preserve"> </w:t>
      </w:r>
      <w:r>
        <w:t xml:space="preserve">independently reviewed (see the evaluation and its graded assessment in</w:t>
      </w:r>
      <w:r>
        <w:t xml:space="preserve"> </w:t>
      </w:r>
      <w:r>
        <w:t xml:space="preserve">the series directory); this wave shipped the graded response: the</w:t>
      </w:r>
      <w:r>
        <w:t xml:space="preserve"> </w:t>
      </w:r>
      <w:hyperlink w:anchor="core-aan-pathway">
        <w:r>
          <w:rPr>
            <w:rStyle w:val="Hyperlink"/>
          </w:rPr>
          <w:t xml:space="preserve">Core Compliance Pathway</w:t>
        </w:r>
      </w:hyperlink>
      <w:r>
        <w:t xml:space="preserve">, the</w:t>
      </w:r>
      <w:r>
        <w:t xml:space="preserve"> </w:t>
      </w:r>
      <w:hyperlink w:anchor="tooling-stack">
        <w:r>
          <w:rPr>
            <w:rStyle w:val="VerbatimChar"/>
          </w:rPr>
          <w:t xml:space="preserve">&lt;engine&gt;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tooling note</w:t>
        </w:r>
      </w:hyperlink>
      <w:r>
        <w:t xml:space="preserve">, the PIM lab’s</w:t>
      </w:r>
      <w:r>
        <w:t xml:space="preserve"> </w:t>
      </w:r>
      <w:r>
        <w:t xml:space="preserve">bind-the-evidence close, boundary-context cross-links from Books</w:t>
      </w:r>
      <w:r>
        <w:t xml:space="preserve"> </w:t>
      </w:r>
      <w:r>
        <w:t xml:space="preserve">05/06/11/12/13, the</w:t>
      </w:r>
      <w:r>
        <w:t xml:space="preserve"> </w:t>
      </w:r>
      <w:r>
        <w:t xml:space="preserve">post-implementation KPIs,</w:t>
      </w:r>
      <w:r>
        <w:t xml:space="preserve"> </w:t>
      </w:r>
      <w:r>
        <w:t xml:space="preserve">and stable Date Codes replacing render-time dates on every page.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 permanent home</w:t>
      </w:r>
      <w:r>
        <w:t xml:space="preserve"> </w:t>
      </w:r>
      <w:r>
        <w:t xml:space="preserve">— this material is not the governance engine’s and will not be</w:t>
      </w:r>
      <w:r>
        <w:t xml:space="preserve"> </w:t>
      </w:r>
      <w:r>
        <w:t xml:space="preserve">canonized as a</w:t>
      </w:r>
      <w:r>
        <w:t xml:space="preserve"> </w:t>
      </w:r>
      <w:r>
        <w:rPr>
          <w:rStyle w:val="VerbatimChar"/>
        </w:rPr>
        <w:t xml:space="preserve">FMP_NNN</w:t>
      </w:r>
      <w:r>
        <w:t xml:space="preserve"> </w:t>
      </w:r>
      <w:r>
        <w:t xml:space="preserve">spec; if the Compliance corpus moves to its own</w:t>
      </w:r>
      <w:r>
        <w:t xml:space="preserve"> </w:t>
      </w:r>
      <w:r>
        <w:t xml:space="preserve">repo/product, the program moves with it.</w:t>
      </w:r>
    </w:p>
    <w:bookmarkEnd w:id="30"/>
    <w:bookmarkStart w:id="31" w:name="next"/>
    <w:p>
      <w:pPr>
        <w:pStyle w:val="Heading2"/>
      </w:pPr>
      <w:r>
        <w:t xml:space="preserve">Next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Compliance staff</w:t>
      </w:r>
      <w:r>
        <w:t xml:space="preserve"> </w:t>
      </w:r>
      <w:r>
        <w:t xml:space="preserve">→ Track A — Compliance track,</w:t>
      </w:r>
      <w:r>
        <w:t xml:space="preserve"> </w:t>
      </w:r>
      <w:r>
        <w:t xml:space="preserve">scored by the assessment rubrics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Engineers</w:t>
      </w:r>
      <w:r>
        <w:t xml:space="preserve"> </w:t>
      </w:r>
      <w:r>
        <w:t xml:space="preserve">→ Track B — Implementation track,</w:t>
      </w:r>
      <w:r>
        <w:t xml:space="preserve"> </w:t>
      </w:r>
      <w:r>
        <w:t xml:space="preserve">with lab environments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Everyone</w:t>
      </w:r>
      <w:r>
        <w:t xml:space="preserve"> </w:t>
      </w:r>
      <w:r>
        <w:t xml:space="preserve">→ Vendor training catalog</w:t>
      </w:r>
    </w:p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Compliance Training Program</dc:title>
  <dc:creator/>
  <dc:description>Program charter for the Compliance Training Program: Track A trains compliance staff against the 20 core books (Book 00-19) of the Compliance series (FedRAMP 20x KSI categories, NIST SP 800-53 Rev 5 anchors, evidence slots); Track B trains engineers to implement the architectures the books describe. Includes a living catalog of external vendor training.</dc:description>
  <cp:keywords/>
  <dcterms:created xsi:type="dcterms:W3CDTF">2026-10-19T10:10:35Z</dcterms:created>
  <dcterms:modified xsi:type="dcterms:W3CDTF">2026-10-19T10:10:35Z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date">
    <vt:lpwstr>July 18, 2026</vt:lpwstr>
  </property>
  <property fmtid="{D5CDD505-2E9C-101B-9397-08002B2CF9AE}" pid="6" name="date-format">
    <vt:lpwstr>MMMM D, YYYY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subtitle">
    <vt:lpwstr>Two-track curriculum over the 20 core books (Book 00-19) of the Federal Compliance series — compliance and implementation</vt:lpwstr>
  </property>
  <property fmtid="{D5CDD505-2E9C-101B-9397-08002B2CF9AE}" pid="12" name="toc-title">
    <vt:lpwstr>Table of contents</vt:lpwstr>
  </property>
</Properties>
</file>