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Adapter Ecosystem Overview — Executive Brief</w:t>
      </w:r>
    </w:p>
    <w:p>
      <w:pPr>
        <w:pStyle w:val="Subtitle"/>
      </w:pPr>
      <w:r>
        <w:t xml:space="preserve">How the Federal Modernization Program reaches incumbent systems without rip-and-replace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ac5e84e841fabfa9c990bf60916eba2c348258d"/>
    <w:p>
      <w:pPr>
        <w:pStyle w:val="Heading1"/>
      </w:pPr>
      <w:r>
        <w:t xml:space="preserve">Adapter Ecosystem Overview — Executive Brief</w:t>
      </w:r>
    </w:p>
    <w:p>
      <w:pPr>
        <w:pStyle w:val="FirstParagraph"/>
      </w:pPr>
      <w:r>
        <w:t xml:space="preserve">The Federal Modernization Program is an</w:t>
      </w:r>
      <w:r>
        <w:t xml:space="preserve"> </w:t>
      </w:r>
      <w:r>
        <w:rPr>
          <w:b/>
          <w:bCs/>
        </w:rPr>
        <w:t xml:space="preserve">overlay</w:t>
      </w:r>
      <w:r>
        <w:t xml:space="preserve">: it does not replace the platforms an agency already</w:t>
      </w:r>
      <w:r>
        <w:t xml:space="preserve"> </w:t>
      </w:r>
      <w:r>
        <w:t xml:space="preserve">runs. Adapters are how the governance substrate reaches those platforms —</w:t>
      </w:r>
      <w:r>
        <w:t xml:space="preserve"> </w:t>
      </w:r>
      <w:r>
        <w:t xml:space="preserve">reading their state, normalizing it into canon-keyed claims, and (where</w:t>
      </w:r>
      <w:r>
        <w:t xml:space="preserve"> </w:t>
      </w:r>
      <w:r>
        <w:t xml:space="preserve">authorized) pushing approved change back into them. The adapter set is governed</w:t>
      </w:r>
      <w:r>
        <w:t xml:space="preserve"> </w:t>
      </w:r>
      <w:r>
        <w:t xml:space="preserve">as canon, not as code that drifts on its own: every adapter is a registered</w:t>
      </w:r>
      <w:r>
        <w:t xml:space="preserve"> </w:t>
      </w:r>
      <w:r>
        <w:t xml:space="preserve">entry in one of two schema-validated registries, and no adapter merges without</w:t>
      </w:r>
      <w:r>
        <w:t xml:space="preserve"> </w:t>
      </w:r>
      <w:r>
        <w:t xml:space="preserve">passing the conformance gate.</w:t>
      </w:r>
    </w:p>
    <w:bookmarkStart w:id="9" w:name="the-dual-axis-taxonomy-fmp_003"/>
    <w:p>
      <w:pPr>
        <w:pStyle w:val="Heading2"/>
      </w:pPr>
      <w:r>
        <w:t xml:space="preserve">The dual-axis taxonomy (FMP_003)</w:t>
      </w:r>
    </w:p>
    <w:p>
      <w:pPr>
        <w:pStyle w:val="FirstParagraph"/>
      </w:pPr>
      <w:r>
        <w:t xml:space="preserve">Every adapter declares two coordinates, defined in</w:t>
      </w:r>
      <w:r>
        <w:t xml:space="preserve"> </w:t>
      </w:r>
      <w:r>
        <w:rPr>
          <w:rStyle w:val="VerbatimChar"/>
        </w:rPr>
        <w:t xml:space="preserve">FMP_003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class</w:t>
      </w:r>
      <w:r>
        <w:t xml:space="preserve"> </w:t>
      </w:r>
      <w:r>
        <w:t xml:space="preserve">— the</w:t>
      </w:r>
      <w:r>
        <w:t xml:space="preserve"> </w:t>
      </w:r>
      <w:r>
        <w:rPr>
          <w:i/>
          <w:iCs/>
        </w:rPr>
        <w:t xml:space="preserve">operational</w:t>
      </w:r>
      <w:r>
        <w:t xml:space="preserve"> </w:t>
      </w:r>
      <w:r>
        <w:t xml:space="preserve">axis:</w:t>
      </w:r>
      <w:r>
        <w:t xml:space="preserve"> </w:t>
      </w:r>
      <w:r>
        <w:rPr>
          <w:rStyle w:val="VerbatimChar"/>
        </w:rPr>
        <w:t xml:space="preserve">modernization</w:t>
      </w:r>
      <w:r>
        <w:t xml:space="preserve"> </w:t>
      </w:r>
      <w:r>
        <w:t xml:space="preserve">(change-making) or</w:t>
      </w:r>
      <w:r>
        <w:t xml:space="preserve"> </w:t>
      </w:r>
      <w:r>
        <w:rPr>
          <w:rStyle w:val="VerbatimChar"/>
        </w:rPr>
        <w:t xml:space="preserve">conformance</w:t>
      </w:r>
      <w:r>
        <w:t xml:space="preserve"> </w:t>
      </w:r>
      <w:r>
        <w:t xml:space="preserve">(read-only).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mission-class</w:t>
      </w:r>
      <w:r>
        <w:t xml:space="preserve"> </w:t>
      </w:r>
      <w:r>
        <w:t xml:space="preserve">— the</w:t>
      </w:r>
      <w:r>
        <w:t xml:space="preserve"> </w:t>
      </w:r>
      <w:r>
        <w:rPr>
          <w:i/>
          <w:iCs/>
        </w:rPr>
        <w:t xml:space="preserve">doctrinal</w:t>
      </w:r>
      <w:r>
        <w:t xml:space="preserve"> </w:t>
      </w:r>
      <w:r>
        <w:t xml:space="preserve">axis:</w:t>
      </w:r>
      <w:r>
        <w:t xml:space="preserve"> </w:t>
      </w:r>
      <w:r>
        <w:rPr>
          <w:rStyle w:val="VerbatimChar"/>
        </w:rPr>
        <w:t xml:space="preserve">identity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telemetry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enforcement</w:t>
      </w:r>
      <w:r>
        <w:t xml:space="preserve">, or</w:t>
      </w:r>
      <w:r>
        <w:t xml:space="preserve"> </w:t>
      </w:r>
      <w:r>
        <w:rPr>
          <w:rStyle w:val="VerbatimChar"/>
        </w:rPr>
        <w:t xml:space="preserve">integration</w:t>
      </w:r>
      <w:r>
        <w:t xml:space="preserve">.</w:t>
      </w:r>
    </w:p>
    <w:p>
      <w:pPr>
        <w:pStyle w:val="BlockText"/>
      </w:pPr>
      <w:r>
        <w:rPr>
          <w:i/>
          <w:iCs/>
        </w:rPr>
        <w:t xml:space="preserve">Adapters are plural in class but singular in mission: each class exists to</w:t>
      </w:r>
      <w:r>
        <w:rPr>
          <w:i/>
          <w:iCs/>
        </w:rPr>
        <w:t xml:space="preserve"> </w:t>
      </w:r>
      <w:r>
        <w:rPr>
          <w:i/>
          <w:iCs/>
        </w:rPr>
        <w:t xml:space="preserve">serve SSOT + Identity + Security.</w:t>
      </w:r>
      <w:r>
        <w:t xml:space="preserve"> </w:t>
      </w:r>
      <w:r>
        <w:t xml:space="preserve">— FMP_003</w:t>
      </w:r>
    </w:p>
    <w:p>
      <w:pPr>
        <w:pStyle w:val="FirstParagraph"/>
      </w:pPr>
      <w:r>
        <w:t xml:space="preserve">This is what keeps the ecosystem coherent as it grows. A new vendor integration</w:t>
      </w:r>
      <w:r>
        <w:t xml:space="preserve"> </w:t>
      </w:r>
      <w:r>
        <w:t xml:space="preserve">is never</w:t>
      </w:r>
      <w:r>
        <w:t xml:space="preserve"> </w:t>
      </w:r>
      <w:r>
        <w:t xml:space="preserve">“just another connector”</w:t>
      </w:r>
      <w:r>
        <w:t xml:space="preserve"> </w:t>
      </w:r>
      <w:r>
        <w:t xml:space="preserve">— it must declare what it changes (or that it</w:t>
      </w:r>
      <w:r>
        <w:t xml:space="preserve"> </w:t>
      </w:r>
      <w:r>
        <w:t xml:space="preserve">changes nothing) and which mission it serves, and those declarations are</w:t>
      </w:r>
      <w:r>
        <w:t xml:space="preserve"> </w:t>
      </w:r>
      <w:r>
        <w:t xml:space="preserve">enforced by schema and CI.</w:t>
      </w:r>
    </w:p>
    <w:bookmarkEnd w:id="9"/>
    <w:bookmarkStart w:id="10" w:name="two-registries-one-schema"/>
    <w:p>
      <w:pPr>
        <w:pStyle w:val="Heading2"/>
      </w:pPr>
      <w:r>
        <w:t xml:space="preserve">Two registries, one schema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Registry</w:t>
            </w:r>
          </w:p>
        </w:tc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Entries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adapter-registry.yaml</w:t>
            </w:r>
          </w:p>
        </w:tc>
        <w:tc>
          <w:tcPr/>
          <w:p>
            <w:pPr>
              <w:pStyle w:val="Compact"/>
            </w:pPr>
            <w:r>
              <w:t xml:space="preserve">conformance</w:t>
            </w:r>
          </w:p>
        </w:tc>
        <w:tc>
          <w:tcPr/>
          <w:p>
            <w:pPr>
              <w:pStyle w:val="Compact"/>
            </w:pPr>
            <w:r>
              <w:t xml:space="preserve">Read-only assessors and telemetry observers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modernization-registry.yaml</w:t>
            </w:r>
          </w:p>
        </w:tc>
        <w:tc>
          <w:tcPr/>
          <w:p>
            <w:pPr>
              <w:pStyle w:val="Compact"/>
            </w:pPr>
            <w:r>
              <w:t xml:space="preserve">modernization</w:t>
            </w:r>
          </w:p>
        </w:tc>
        <w:tc>
          <w:tcPr/>
          <w:p>
            <w:pPr>
              <w:pStyle w:val="Compact"/>
            </w:pPr>
            <w:r>
              <w:t xml:space="preserve">Change-making integrations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</w:t>
            </w:r>
          </w:p>
        </w:tc>
      </w:tr>
    </w:tbl>
    <w:p>
      <w:pPr>
        <w:pStyle w:val="BodyText"/>
      </w:pPr>
      <w:r>
        <w:t xml:space="preserve">Both registries are constrained by a single JSON Schema</w:t>
      </w:r>
      <w:r>
        <w:t xml:space="preserve"> </w:t>
      </w:r>
      <w:r>
        <w:t xml:space="preserve">(</w:t>
      </w:r>
      <w:r>
        <w:rPr>
          <w:rStyle w:val="VerbatimChar"/>
        </w:rPr>
        <w:t xml:space="preserve">adapter-registry.schema.json</w:t>
      </w:r>
      <w:r>
        <w:t xml:space="preserve">),</w:t>
      </w:r>
      <w:r>
        <w:t xml:space="preserve"> </w:t>
      </w:r>
      <w:r>
        <w:t xml:space="preserve">which requires every entry to declare</w:t>
      </w:r>
      <w:r>
        <w:t xml:space="preserve"> </w:t>
      </w:r>
      <w:r>
        <w:rPr>
          <w:rStyle w:val="VerbatimChar"/>
        </w:rPr>
        <w:t xml:space="preserve">class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mission-class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 and</w:t>
      </w:r>
      <w:r>
        <w:t xml:space="preserve"> </w:t>
      </w:r>
      <w:r>
        <w:t xml:space="preserve">the four canon invariants every adapter must honor: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gcc-boundary: gcc-moderate</w:t>
      </w:r>
      <w:r>
        <w:t xml:space="preserve"> </w:t>
      </w:r>
      <w:r>
        <w:t xml:space="preserve">— operates inside the authorized boundary</w:t>
      </w:r>
      <w:r>
        <w:t xml:space="preserve"> </w:t>
      </w:r>
      <w:r>
        <w:t xml:space="preserve">(named Commercial exceptions are encoded explicitly per adapter).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ssot-mutation: never</w:t>
      </w:r>
      <w:r>
        <w:t xml:space="preserve"> </w:t>
      </w:r>
      <w:r>
        <w:t xml:space="preserve">— an adapter never edits the canon itself.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certificate-anchored: true</w:t>
      </w:r>
      <w:r>
        <w:t xml:space="preserve"> </w:t>
      </w:r>
      <w:r>
        <w:t xml:space="preserve">— its records carry provenance back to a</w:t>
      </w:r>
      <w:r>
        <w:t xml:space="preserve"> </w:t>
      </w:r>
      <w:r>
        <w:t xml:space="preserve">verified identity.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object-identity-only: true</w:t>
      </w:r>
      <w:r>
        <w:t xml:space="preserve"> </w:t>
      </w:r>
      <w:r>
        <w:t xml:space="preserve">— it acts on identified objects, not free-form</w:t>
      </w:r>
      <w:r>
        <w:t xml:space="preserve"> </w:t>
      </w:r>
      <w:r>
        <w:t xml:space="preserve">blobs.</w:t>
      </w:r>
    </w:p>
    <w:bookmarkEnd w:id="10"/>
    <w:bookmarkStart w:id="12" w:name="what-ships-today"/>
    <w:p>
      <w:pPr>
        <w:pStyle w:val="Heading2"/>
      </w:pPr>
      <w:r>
        <w:t xml:space="preserve">What ships today</w:t>
      </w:r>
    </w:p>
    <w:p>
      <w:pPr>
        <w:pStyle w:val="FirstParagraph"/>
      </w:pPr>
      <w:r>
        <w:t xml:space="preserve">Of</w:t>
      </w:r>
      <w:r>
        <w:t xml:space="preserve"> </w:t>
      </w:r>
      <w:r>
        <w:rPr>
          <w:b/>
          <w:bCs/>
        </w:rPr>
        <w:t xml:space="preserve">48 registered adapters, 12 are active (shipped)</w:t>
      </w:r>
      <w:r>
        <w:t xml:space="preserve">; the remaining entries</w:t>
      </w:r>
      <w:r>
        <w:t xml:space="preserve"> </w:t>
      </w:r>
      <w:r>
        <w:t xml:space="preserve">are</w:t>
      </w:r>
      <w:r>
        <w:t xml:space="preserve"> </w:t>
      </w:r>
      <w:r>
        <w:rPr>
          <w:i/>
          <w:iCs/>
        </w:rPr>
        <w:t xml:space="preserve">reserved</w:t>
      </w:r>
      <w:r>
        <w:t xml:space="preserve"> </w:t>
      </w:r>
      <w:r>
        <w:t xml:space="preserve">canonical names (design pending, activation gated on a</w:t>
      </w:r>
      <w:r>
        <w:t xml:space="preserve"> </w:t>
      </w:r>
      <w:r>
        <w:t xml:space="preserve">per-adapter ADR) or</w:t>
      </w:r>
      <w:r>
        <w:t xml:space="preserve"> </w:t>
      </w:r>
      <w:r>
        <w:rPr>
          <w:i/>
          <w:iCs/>
        </w:rPr>
        <w:t xml:space="preserve">proposed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Conformance (read-only) — shipped: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scubagear</w:t>
      </w:r>
      <w:r>
        <w:t xml:space="preserve"> </w:t>
      </w:r>
      <w:r>
        <w:t xml:space="preserve">— CISA ScubaGear M365 SCuBA assessor across seven workloads</w:t>
      </w:r>
      <w:r>
        <w:t xml:space="preserve"> </w:t>
      </w:r>
      <w:r>
        <w:t xml:space="preserve">(Entra ID, Defender, Exchange Online, Power BI, Power Platform, SharePoint,</w:t>
      </w:r>
      <w:r>
        <w:t xml:space="preserve"> </w:t>
      </w:r>
      <w:r>
        <w:t xml:space="preserve">Teams). See the</w:t>
      </w:r>
      <w:r>
        <w:t xml:space="preserve"> </w:t>
      </w:r>
      <w:hyperlink r:id="rId11">
        <w:r>
          <w:rPr>
            <w:rStyle w:val="Hyperlink"/>
          </w:rPr>
          <w:t xml:space="preserve">ScubaGear integration whitepaper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fmp-git-server</w:t>
      </w:r>
      <w:r>
        <w:t xml:space="preserve"> </w:t>
      </w:r>
      <w:r>
        <w:t xml:space="preserve">— health and evidence telemetry for the self-hosted</w:t>
      </w:r>
      <w:r>
        <w:t xml:space="preserve"> </w:t>
      </w:r>
      <w:r>
        <w:t xml:space="preserve">Windows Server 2025 / IIS Git service.</w:t>
      </w:r>
    </w:p>
    <w:p>
      <w:pPr>
        <w:pStyle w:val="FirstParagraph"/>
      </w:pPr>
      <w:r>
        <w:rPr>
          <w:b/>
          <w:bCs/>
        </w:rPr>
        <w:t xml:space="preserve">Modernization (change-making) — shipped:</w:t>
      </w:r>
      <w:r>
        <w:t xml:space="preserve"> </w:t>
      </w:r>
      <w:r>
        <w:rPr>
          <w:rStyle w:val="VerbatimChar"/>
        </w:rPr>
        <w:t xml:space="preserve">entra-id</w:t>
      </w:r>
      <w:r>
        <w:t xml:space="preserve">,</w:t>
      </w:r>
      <w:r>
        <w:t xml:space="preserve"> </w:t>
      </w:r>
      <w:r>
        <w:rPr>
          <w:rStyle w:val="VerbatimChar"/>
        </w:rPr>
        <w:t xml:space="preserve">m365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service-now</w:t>
      </w:r>
      <w:r>
        <w:t xml:space="preserve">,</w:t>
      </w:r>
      <w:r>
        <w:t xml:space="preserve"> </w:t>
      </w:r>
      <w:r>
        <w:rPr>
          <w:rStyle w:val="VerbatimChar"/>
        </w:rPr>
        <w:t xml:space="preserve">palo-alto</w:t>
      </w:r>
      <w:r>
        <w:t xml:space="preserve">,</w:t>
      </w:r>
      <w:r>
        <w:t xml:space="preserve"> </w:t>
      </w:r>
      <w:r>
        <w:rPr>
          <w:rStyle w:val="VerbatimChar"/>
        </w:rPr>
        <w:t xml:space="preserve">scuba</w:t>
      </w:r>
      <w:r>
        <w:t xml:space="preserve">,</w:t>
      </w:r>
      <w:r>
        <w:t xml:space="preserve"> </w:t>
      </w:r>
      <w:r>
        <w:rPr>
          <w:rStyle w:val="VerbatimChar"/>
        </w:rPr>
        <w:t xml:space="preserve">terraform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cyberark</w:t>
      </w:r>
      <w:r>
        <w:t xml:space="preserve">,</w:t>
      </w:r>
      <w:r>
        <w:t xml:space="preserve"> </w:t>
      </w:r>
      <w:r>
        <w:rPr>
          <w:rStyle w:val="VerbatimChar"/>
        </w:rPr>
        <w:t xml:space="preserve">infoblox</w:t>
      </w:r>
      <w:r>
        <w:t xml:space="preserve">,</w:t>
      </w:r>
      <w:r>
        <w:t xml:space="preserve"> </w:t>
      </w:r>
      <w:r>
        <w:rPr>
          <w:rStyle w:val="VerbatimChar"/>
        </w:rPr>
        <w:t xml:space="preserve">bluecat-address-manager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active-directory</w:t>
      </w:r>
      <w:r>
        <w:t xml:space="preserve"> </w:t>
      </w:r>
      <w:r>
        <w:t xml:space="preserve">(read-only discovery</w:t>
      </w:r>
      <w:r>
        <w:t xml:space="preserve"> </w:t>
      </w:r>
      <w:r>
        <w:t xml:space="preserve">today).</w:t>
      </w:r>
    </w:p>
    <w:p>
      <w:pPr>
        <w:pStyle w:val="BodyText"/>
      </w:pPr>
      <w:r>
        <w:t xml:space="preserve">Two adapters are reachable directly from the CLI today —</w:t>
      </w:r>
      <w:r>
        <w:t xml:space="preserve"> </w:t>
      </w:r>
      <w:r>
        <w:rPr>
          <w:rStyle w:val="VerbatimChar"/>
        </w:rPr>
        <w:t xml:space="preserve">fmp adapter run servicenow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fmp adapter run entra</w:t>
      </w:r>
      <w:r>
        <w:t xml:space="preserve"> </w:t>
      </w:r>
      <w:r>
        <w:t xml:space="preserve">— and ScubaGear</w:t>
      </w:r>
      <w:r>
        <w:t xml:space="preserve"> </w:t>
      </w:r>
      <w:r>
        <w:t xml:space="preserve">output is ingested with</w:t>
      </w:r>
      <w:r>
        <w:t xml:space="preserve"> </w:t>
      </w:r>
      <w:r>
        <w:rPr>
          <w:rStyle w:val="VerbatimChar"/>
        </w:rPr>
        <w:t xml:space="preserve">fmp adapter run-scuba &lt;report&gt;</w:t>
      </w:r>
      <w:r>
        <w:t xml:space="preserve">. The remaining</w:t>
      </w:r>
      <w:r>
        <w:t xml:space="preserve"> </w:t>
      </w:r>
      <w:r>
        <w:t xml:space="preserve">shipped adapters are exercised through the IR and evidence pipelines.</w:t>
      </w:r>
    </w:p>
    <w:bookmarkEnd w:id="12"/>
    <w:bookmarkStart w:id="13" w:name="how-an-adapter-earns-active"/>
    <w:p>
      <w:pPr>
        <w:pStyle w:val="Heading2"/>
      </w:pPr>
      <w:r>
        <w:t xml:space="preserve">How an adapter earns</w:t>
      </w:r>
      <w:r>
        <w:t xml:space="preserve"> </w:t>
      </w:r>
      <w:r>
        <w:t xml:space="preserve">“active”</w:t>
      </w:r>
    </w:p>
    <w:p>
      <w:pPr>
        <w:pStyle w:val="FirstParagraph"/>
      </w:pPr>
      <w:r>
        <w:t xml:space="preserve">Status is not self-asserted. Per the adapter test strategy</w:t>
      </w:r>
      <w:r>
        <w:t xml:space="preserve"> </w:t>
      </w:r>
      <w:r>
        <w:t xml:space="preserve">(FMP_131), an adapter</w:t>
      </w:r>
      <w:r>
        <w:t xml:space="preserve"> </w:t>
      </w:r>
      <w:r>
        <w:t xml:space="preserve">advances through three test tiers before its registry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may move toward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Test tier</w:t>
            </w:r>
          </w:p>
        </w:tc>
        <w:tc>
          <w:tcPr/>
          <w:p>
            <w:pPr>
              <w:pStyle w:val="Compact"/>
            </w:pPr>
            <w:r>
              <w:t xml:space="preserve">Proves</w:t>
            </w:r>
          </w:p>
        </w:tc>
        <w:tc>
          <w:tcPr/>
          <w:p>
            <w:pPr>
              <w:pStyle w:val="Compact"/>
            </w:pPr>
            <w:r>
              <w:t xml:space="preserve">Runs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1</w:t>
            </w:r>
          </w:p>
        </w:tc>
        <w:tc>
          <w:tcPr/>
          <w:p>
            <w:pPr>
              <w:pStyle w:val="Compact"/>
            </w:pPr>
            <w:r>
              <w:t xml:space="preserve">Common-plane logic (API shape, auth, parsing) against a live commercial tenant</w:t>
            </w:r>
          </w:p>
        </w:tc>
        <w:tc>
          <w:tcPr/>
          <w:p>
            <w:pPr>
              <w:pStyle w:val="Compact"/>
            </w:pPr>
            <w:r>
              <w:t xml:space="preserve">Nightly CI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2</w:t>
            </w:r>
          </w:p>
        </w:tc>
        <w:tc>
          <w:tcPr/>
          <w:p>
            <w:pPr>
              <w:pStyle w:val="Compact"/>
            </w:pPr>
            <w:r>
              <w:t xml:space="preserve">GCC-Moderate-specific behavior against recorded contract fixtures</w:t>
            </w:r>
          </w:p>
        </w:tc>
        <w:tc>
          <w:tcPr/>
          <w:p>
            <w:pPr>
              <w:pStyle w:val="Compact"/>
            </w:pPr>
            <w:r>
              <w:t xml:space="preserve">Every PR (</w:t>
            </w:r>
            <w:r>
              <w:rPr>
                <w:rStyle w:val="VerbatimChar"/>
              </w:rPr>
              <w:t xml:space="preserve">pytest</w:t>
            </w:r>
            <w:r>
              <w:t xml:space="preserve">, zero network)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3</w:t>
            </w:r>
          </w:p>
        </w:tc>
        <w:tc>
          <w:tcPr/>
          <w:p>
            <w:pPr>
              <w:pStyle w:val="Compact"/>
            </w:pPr>
            <w:r>
              <w:t xml:space="preserve">Behavior against a real reference GCC-Moderate tenant</w:t>
            </w:r>
          </w:p>
        </w:tc>
        <w:tc>
          <w:tcPr/>
          <w:p>
            <w:pPr>
              <w:pStyle w:val="Compact"/>
            </w:pPr>
            <w:r>
              <w:t xml:space="preserve">Quarterly, exported as signed OSCAL evidence</w:t>
            </w:r>
          </w:p>
        </w:tc>
      </w:tr>
    </w:tbl>
    <w:p>
      <w:pPr>
        <w:pStyle w:val="BodyText"/>
      </w:pPr>
      <w:r>
        <w:t xml:space="preserve">The Adapter Conformance CI gate</w:t>
      </w:r>
      <w:r>
        <w:t xml:space="preserve"> </w:t>
      </w:r>
      <w:r>
        <w:t xml:space="preserve">validates both registries against the schema and runs the full conformance</w:t>
      </w:r>
      <w:r>
        <w:t xml:space="preserve"> </w:t>
      </w:r>
      <w:r>
        <w:t xml:space="preserve">criteria on every PR that touches an adapter; a single failure blocks merge.</w:t>
      </w:r>
      <w:r>
        <w:t xml:space="preserve"> </w:t>
      </w:r>
      <w:r>
        <w:t xml:space="preserve">Adapter capability is declared per the five-tier conformance model in</w:t>
      </w:r>
      <w:r>
        <w:t xml:space="preserve"> </w:t>
      </w:r>
      <w:r>
        <w:t xml:space="preserve">[the program decision].</w:t>
      </w:r>
    </w:p>
    <w:bookmarkEnd w:id="13"/>
    <w:bookmarkStart w:id="14" w:name="maturity-snapshot"/>
    <w:p>
      <w:pPr>
        <w:pStyle w:val="Heading2"/>
      </w:pPr>
      <w:r>
        <w:t xml:space="preserve">Maturity snapshot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Dual-axis taxonomy + schema enforcement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Conformance adapters (</w:t>
            </w:r>
            <w:r>
              <w:rPr>
                <w:rStyle w:val="VerbatimChar"/>
              </w:rPr>
              <w:t xml:space="preserve">scubagear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fmp-git-server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Modernization adapters (10 active integrations)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Adapter conformance CI gate (Tier 1/2 tests)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 3 reference-deployment validation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</w:t>
            </w:r>
            <w:r>
              <w:t xml:space="preserve"> </w:t>
            </w:r>
            <w:r>
              <w:t xml:space="preserve">(per-adapter, agency-dependent)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Reserved adapter family (federal attribute services, Defender suite, etc.)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RESERVED / DESIGN-ONLY</w:t>
            </w:r>
          </w:p>
        </w:tc>
      </w:tr>
    </w:tbl>
    <w:bookmarkEnd w:id="14"/>
    <w:bookmarkStart w:id="16" w:name="where-to-go-deeper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Adapter specs</w:t>
      </w:r>
      <w:r>
        <w:t xml:space="preserve"> </w:t>
      </w:r>
      <w:r>
        <w:t xml:space="preserve">— one technical spec per</w:t>
      </w:r>
      <w:r>
        <w:t xml:space="preserve"> </w:t>
      </w:r>
      <w:r>
        <w:t xml:space="preserve">adapter, frontmatter regenerated from canon on every sync.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Validation suites</w:t>
      </w:r>
      <w:r>
        <w:t xml:space="preserve"> </w:t>
      </w:r>
      <w:r>
        <w:t xml:space="preserve">— adapter tests,</w:t>
      </w:r>
      <w:r>
        <w:t xml:space="preserve"> </w:t>
      </w:r>
      <w:r>
        <w:t xml:space="preserve">evidence expectations, and drift procedures, paired 1:1 with each adapter.</w:t>
      </w:r>
    </w:p>
    <w:p>
      <w:pPr>
        <w:pStyle w:val="Compact"/>
        <w:numPr>
          <w:ilvl w:val="0"/>
          <w:numId w:val="1004"/>
        </w:numPr>
      </w:pPr>
      <w:hyperlink r:id="rId15">
        <w:r>
          <w:rPr>
            <w:rStyle w:val="Hyperlink"/>
            <w:b/>
            <w:bCs/>
          </w:rPr>
          <w:t xml:space="preserve">Reference architecture — Adapters</w:t>
        </w:r>
      </w:hyperlink>
      <w:r>
        <w:t xml:space="preserve"> </w:t>
      </w:r>
      <w:r>
        <w:t xml:space="preserve">—</w:t>
      </w:r>
      <w:r>
        <w:t xml:space="preserve"> </w:t>
      </w:r>
      <w:r>
        <w:t xml:space="preserve">how adapters sit in the six-plane architecture.</w:t>
      </w:r>
    </w:p>
    <w:bookmarkEnd w:id="16"/>
    <w:bookmarkStart w:id="17" w:name="leadership-takeaway"/>
    <w:p>
      <w:pPr>
        <w:pStyle w:val="Heading2"/>
      </w:pPr>
      <w:r>
        <w:t xml:space="preserve">Leadership takeaway</w:t>
      </w:r>
    </w:p>
    <w:p>
      <w:pPr>
        <w:pStyle w:val="FirstParagraph"/>
      </w:pPr>
      <w:r>
        <w:t xml:space="preserve">The Federal Modernization Program’s adapter ecosystem is governed, not improvised: a fixed taxonomy, two</w:t>
      </w:r>
      <w:r>
        <w:t xml:space="preserve"> </w:t>
      </w:r>
      <w:r>
        <w:t xml:space="preserve">schema-validated registries, and a CI gate that blocks any adapter from</w:t>
      </w:r>
      <w:r>
        <w:t xml:space="preserve"> </w:t>
      </w:r>
      <w:r>
        <w:t xml:space="preserve">claiming a status it has not earned through tiered testing. Twelve adapters ship</w:t>
      </w:r>
      <w:r>
        <w:t xml:space="preserve"> </w:t>
      </w:r>
      <w:r>
        <w:t xml:space="preserve">today across read-only assessment and change-making integration; the larger</w:t>
      </w:r>
      <w:r>
        <w:t xml:space="preserve"> </w:t>
      </w:r>
      <w:r>
        <w:t xml:space="preserve">reserved set is a published roadmap of named, canon-anchored slots — not a claim</w:t>
      </w:r>
      <w:r>
        <w:t xml:space="preserve"> </w:t>
      </w:r>
      <w:r>
        <w:t xml:space="preserve">of present capability — each activated only when its ADR and conformance tests</w:t>
      </w:r>
      <w:r>
        <w:t xml:space="preserve"> </w:t>
      </w:r>
      <w:r>
        <w:t xml:space="preserve">land.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../reference-architecture/adapters.md" TargetMode="External" /><Relationship Type="http://schemas.openxmlformats.org/officeDocument/2006/relationships/hyperlink" Id="rId11" Target="../whitepapers/scubagear-integration-whitepaper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../reference-architecture/adapters.md" TargetMode="External" /><Relationship Type="http://schemas.openxmlformats.org/officeDocument/2006/relationships/hyperlink" Id="rId11" Target="../whitepapers/scubagear-integration-whitepaper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Adapter Ecosystem Overview — Executive Brief</dc:title>
  <dc:creator/>
  <cp:keywords/>
  <dcterms:created xsi:type="dcterms:W3CDTF">2026-10-19T10:10:35Z</dcterms:created>
  <dcterms:modified xsi:type="dcterms:W3CDTF">2026-10-19T10:10:35Z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canon-source">
    <vt:lpwstr/>
  </property>
  <property fmtid="{D5CDD505-2E9C-101B-9397-08002B2CF9AE}" pid="4" name="derived-from">
    <vt:lpwstr>fmp canon</vt:lpwstr>
  </property>
  <property fmtid="{D5CDD505-2E9C-101B-9397-08002B2CF9AE}" pid="5" name="doc-type">
    <vt:lpwstr>executive-brief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status">
    <vt:lpwstr>Active</vt:lpwstr>
  </property>
  <property fmtid="{D5CDD505-2E9C-101B-9397-08002B2CF9AE}" pid="13" name="subtitle">
    <vt:lpwstr>How the Federal Modernization Program reaches incumbent systems without rip-and-replace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