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KSI Conformance Overview — Executive Brief</w:t>
      </w:r>
    </w:p>
    <w:p>
      <w:pPr>
        <w:pStyle w:val="Subtitle"/>
      </w:pPr>
      <w:r>
        <w:t xml:space="preserve">Continuous, machine-checkable security indicators above the control catalog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7" w:name="ksi-conformance-overview-executive-brief"/>
    <w:p>
      <w:pPr>
        <w:pStyle w:val="Heading1"/>
      </w:pPr>
      <w:r>
        <w:t xml:space="preserve">KSI Conformance Overview — Executive Brief</w:t>
      </w:r>
    </w:p>
    <w:p>
      <w:pPr>
        <w:pStyle w:val="FirstParagraph"/>
      </w:pPr>
      <w:r>
        <w:t xml:space="preserve">Key Security Indicators (KSIs) are how the Federal Modernization Program turns a control catalog into</w:t>
      </w:r>
      <w:r>
        <w:t xml:space="preserve"> </w:t>
      </w:r>
      <w:r>
        <w:t xml:space="preserve">something a machine can check continuously. Where a traditional SSP narrates</w:t>
      </w:r>
      <w:r>
        <w:t xml:space="preserve"> </w:t>
      </w:r>
      <w:r>
        <w:rPr>
          <w:i/>
          <w:iCs/>
        </w:rPr>
        <w:t xml:space="preserve">“control AC-2 is satisfied,”</w:t>
      </w:r>
      <w:r>
        <w:t xml:space="preserve"> </w:t>
      </w:r>
      <w:r>
        <w:t xml:space="preserve">a KSI is a</w:t>
      </w:r>
      <w:r>
        <w:t xml:space="preserve"> </w:t>
      </w:r>
      <w:r>
        <w:rPr>
          <w:b/>
          <w:bCs/>
        </w:rPr>
        <w:t xml:space="preserve">machine-readable, continuously</w:t>
      </w:r>
      <w:r>
        <w:rPr>
          <w:b/>
          <w:bCs/>
        </w:rPr>
        <w:t xml:space="preserve"> </w:t>
      </w:r>
      <w:r>
        <w:rPr>
          <w:b/>
          <w:bCs/>
        </w:rPr>
        <w:t xml:space="preserve">evaluated assertion</w:t>
      </w:r>
      <w:r>
        <w:t xml:space="preserve"> </w:t>
      </w:r>
      <w:r>
        <w:t xml:space="preserve">— pass, fail, error, or stale — backed by hashed evidence.</w:t>
      </w:r>
      <w:r>
        <w:t xml:space="preserve"> </w:t>
      </w:r>
      <w:r>
        <w:t xml:space="preserve">KSIs sit</w:t>
      </w:r>
      <w:r>
        <w:t xml:space="preserve"> </w:t>
      </w:r>
      <w:r>
        <w:rPr>
          <w:i/>
          <w:iCs/>
        </w:rPr>
        <w:t xml:space="preserve">above</w:t>
      </w:r>
      <w:r>
        <w:t xml:space="preserve"> </w:t>
      </w:r>
      <w:r>
        <w:t xml:space="preserve">the NIST SP 800-53 Rev 5 controls and map down to them, which</w:t>
      </w:r>
      <w:r>
        <w:t xml:space="preserve"> </w:t>
      </w:r>
      <w:r>
        <w:t xml:space="preserve">is the model FedRAMP 20x is moving the program toward.</w:t>
      </w:r>
    </w:p>
    <w:bookmarkStart w:id="9" w:name="X81fb4d3e8a5cf5de08ecd8bb473dc42ac892668"/>
    <w:p>
      <w:pPr>
        <w:pStyle w:val="Heading2"/>
      </w:pPr>
      <w:r>
        <w:t xml:space="preserve">What the Federal Modernization Program ships: a governed KSI corpus</w:t>
      </w:r>
    </w:p>
    <w:p>
      <w:pPr>
        <w:pStyle w:val="FirstParagraph"/>
      </w:pPr>
      <w:r>
        <w:t xml:space="preserve">The substrate carries</w:t>
      </w:r>
      <w:r>
        <w:t xml:space="preserve"> </w:t>
      </w:r>
      <w:r>
        <w:rPr>
          <w:b/>
          <w:bCs/>
        </w:rPr>
        <w:t xml:space="preserve">more than 190 KSI rules across eleven families</w:t>
      </w:r>
      <w:r>
        <w:t xml:space="preserve">, each a</w:t>
      </w:r>
      <w:r>
        <w:t xml:space="preserve"> </w:t>
      </w:r>
      <w:r>
        <w:t xml:space="preserve">versioned file under</w:t>
      </w:r>
      <w:r>
        <w:t xml:space="preserve"> </w:t>
      </w:r>
      <w:r>
        <w:rPr>
          <w:rStyle w:val="VerbatimChar"/>
        </w:rPr>
        <w:t xml:space="preserve">src/fmp/rules/ksi/</w:t>
      </w:r>
      <w:r>
        <w:t xml:space="preserve"> </w:t>
      </w:r>
      <w:r>
        <w:t xml:space="preserve">and</w:t>
      </w:r>
      <w:r>
        <w:t xml:space="preserve"> </w:t>
      </w:r>
      <w:r>
        <w:t xml:space="preserve">schema-validated like any other canon artifact: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Family</w:t>
            </w:r>
          </w:p>
        </w:tc>
        <w:tc>
          <w:tcPr/>
          <w:p>
            <w:pPr>
              <w:pStyle w:val="Compact"/>
            </w:pPr>
            <w:r>
              <w:t xml:space="preserve">Covers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iam</w:t>
            </w:r>
          </w:p>
        </w:tc>
        <w:tc>
          <w:tcPr/>
          <w:p>
            <w:pPr>
              <w:pStyle w:val="Compact"/>
            </w:pPr>
            <w:r>
              <w:t xml:space="preserve">Access control &amp; identity (AC, IA) — 28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planning-personnel</w:t>
            </w:r>
          </w:p>
        </w:tc>
        <w:tc>
          <w:tcPr/>
          <w:p>
            <w:pPr>
              <w:pStyle w:val="Compact"/>
            </w:pPr>
            <w:r>
              <w:t xml:space="preserve">Org readiness, vetting, planning — 42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monitoring-logging</w:t>
            </w:r>
          </w:p>
        </w:tc>
        <w:tc>
          <w:tcPr/>
          <w:p>
            <w:pPr>
              <w:pStyle w:val="Compact"/>
            </w:pPr>
            <w:r>
              <w:t xml:space="preserve">Audit &amp; system integrity (AU, SI) — 22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boundary-protection</w:t>
            </w:r>
          </w:p>
        </w:tc>
        <w:tc>
          <w:tcPr/>
          <w:p>
            <w:pPr>
              <w:pStyle w:val="Compact"/>
            </w:pPr>
            <w:r>
              <w:t xml:space="preserve">System &amp; comms protection (SC) — 14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configuration-management</w:t>
            </w:r>
          </w:p>
        </w:tc>
        <w:tc>
          <w:tcPr/>
          <w:p>
            <w:pPr>
              <w:pStyle w:val="Compact"/>
            </w:pPr>
            <w:r>
              <w:t xml:space="preserve">Configuration management (CM) — 11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incident-response</w:t>
            </w:r>
          </w:p>
        </w:tc>
        <w:tc>
          <w:tcPr/>
          <w:p>
            <w:pPr>
              <w:pStyle w:val="Compact"/>
            </w:pPr>
            <w:r>
              <w:t xml:space="preserve">Incident response (IR) — 8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hrit-reciprocity</w:t>
            </w:r>
          </w:p>
        </w:tc>
        <w:tc>
          <w:tcPr/>
          <w:p>
            <w:pPr>
              <w:pStyle w:val="Compact"/>
            </w:pPr>
            <w:r>
              <w:t xml:space="preserve">Single-ATO reciprocity (KSI-RECIP-001..008)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readiness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cyberark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servicenow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other</w:t>
            </w:r>
          </w:p>
        </w:tc>
        <w:tc>
          <w:tcPr/>
          <w:p>
            <w:pPr>
              <w:pStyle w:val="Compact"/>
            </w:pPr>
            <w:r>
              <w:t xml:space="preserve">Readiness, adapter-specific, and cross-cutting indicators</w:t>
            </w:r>
          </w:p>
        </w:tc>
      </w:tr>
    </w:tbl>
    <w:p>
      <w:pPr>
        <w:pStyle w:val="BodyText"/>
      </w:pPr>
      <w:r>
        <w:t xml:space="preserve">Each rule declares a security objective, explicit pass criteria, and the NIST</w:t>
      </w:r>
      <w:r>
        <w:t xml:space="preserve"> </w:t>
      </w:r>
      <w:r>
        <w:t xml:space="preserve">controls it relates to — so a finding traces from indicator to control to</w:t>
      </w:r>
      <w:r>
        <w:t xml:space="preserve"> </w:t>
      </w:r>
      <w:r>
        <w:t xml:space="preserve">evidence deterministically.</w:t>
      </w:r>
    </w:p>
    <w:bookmarkEnd w:id="9"/>
    <w:bookmarkStart w:id="10" w:name="what-ships-today-the-evaluation-engine"/>
    <w:p>
      <w:pPr>
        <w:pStyle w:val="Heading2"/>
      </w:pPr>
      <w:r>
        <w:t xml:space="preserve">What ships today: the evaluation engine</w:t>
      </w:r>
    </w:p>
    <w:p>
      <w:pPr>
        <w:pStyle w:val="FirstParagraph"/>
      </w:pPr>
      <w:r>
        <w:rPr>
          <w:rStyle w:val="VerbatimChar"/>
        </w:rPr>
        <w:t xml:space="preserve">fmp ksi evaluate</w:t>
      </w:r>
      <w:r>
        <w:t xml:space="preserve"> </w:t>
      </w:r>
      <w:r>
        <w:t xml:space="preserve">is the shipped CLI surface. It is the Plane 2 step of the</w:t>
      </w:r>
      <w:r>
        <w:t xml:space="preserve"> </w:t>
      </w:r>
      <w:r>
        <w:t xml:space="preserve">The Federal Modernization Program pipeline: it takes an IR envelope (produced by Plane 1 adapter transforms),</w:t>
      </w:r>
      <w:r>
        <w:t xml:space="preserve"> </w:t>
      </w:r>
      <w:r>
        <w:t xml:space="preserve">evaluates it against the KSI corpus, and emits a canonical KSI result JSON:</w:t>
      </w:r>
    </w:p>
    <w:p>
      <w:pPr>
        <w:pStyle w:val="SourceCode"/>
      </w:pPr>
      <w:r>
        <w:rPr>
          <w:rStyle w:val="ExtensionTok"/>
        </w:rPr>
        <w:t xml:space="preserve">fmp</w:t>
      </w:r>
      <w:r>
        <w:rPr>
          <w:rStyle w:val="NormalTok"/>
        </w:rPr>
        <w:t xml:space="preserve"> ksi evaluate </w:t>
      </w:r>
      <w:r>
        <w:rPr>
          <w:rStyle w:val="AttributeTok"/>
        </w:rPr>
        <w:t xml:space="preserve">--ir</w:t>
      </w:r>
      <w:r>
        <w:rPr>
          <w:rStyle w:val="NormalTok"/>
        </w:rPr>
        <w:t xml:space="preserve"> ./output/ir/tenant-a.ir.json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            </w:t>
      </w:r>
      <w:r>
        <w:rPr>
          <w:rStyle w:val="AttributeTok"/>
        </w:rPr>
        <w:t xml:space="preserve">--out</w:t>
      </w:r>
      <w:r>
        <w:rPr>
          <w:rStyle w:val="NormalTok"/>
        </w:rPr>
        <w:t xml:space="preserve"> ./output/ksi/tenant-a.ksi.json</w:t>
      </w:r>
    </w:p>
    <w:p>
      <w:pPr>
        <w:pStyle w:val="FirstParagraph"/>
      </w:pPr>
      <w:r>
        <w:t xml:space="preserve">The result carries a summary (</w:t>
      </w:r>
      <w:r>
        <w:rPr>
          <w:rStyle w:val="VerbatimChar"/>
        </w:rPr>
        <w:t xml:space="preserve">total_ksis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stale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coverage_percentage</w:t>
      </w:r>
      <w:r>
        <w:t xml:space="preserve">) and a per-KSI breakdown with evidence and drift</w:t>
      </w:r>
      <w:r>
        <w:t xml:space="preserve"> </w:t>
      </w:r>
      <w:r>
        <w:t xml:space="preserve">indicators. The engine is deliberately</w:t>
      </w:r>
      <w:r>
        <w:t xml:space="preserve"> </w:t>
      </w:r>
      <w:r>
        <w:rPr>
          <w:b/>
          <w:bCs/>
        </w:rPr>
        <w:t xml:space="preserve">pure and deterministic</w:t>
      </w:r>
      <w:r>
        <w:t xml:space="preserve"> </w:t>
      </w:r>
      <w:r>
        <w:t xml:space="preserve">— same inputs,</w:t>
      </w:r>
      <w:r>
        <w:t xml:space="preserve"> </w:t>
      </w:r>
      <w:r>
        <w:t xml:space="preserve">same result — and is covered by 40+ hermetic tests. KSI results feed the</w:t>
      </w:r>
      <w:r>
        <w:t xml:space="preserve"> </w:t>
      </w:r>
      <w:r>
        <w:t xml:space="preserve">evidence bundle (</w:t>
      </w:r>
      <w:r>
        <w:rPr>
          <w:rStyle w:val="VerbatimChar"/>
        </w:rPr>
        <w:t xml:space="preserve">evidence-bundle.schema.json</w:t>
      </w:r>
      <w:r>
        <w:t xml:space="preserve">),</w:t>
      </w:r>
      <w:r>
        <w:t xml:space="preserve"> </w:t>
      </w:r>
      <w:r>
        <w:t xml:space="preserve">which emits OSCAL observation objects for assessor consumption.</w:t>
      </w:r>
    </w:p>
    <w:p>
      <w:pPr>
        <w:pStyle w:val="BlockText"/>
      </w:pPr>
      <w:r>
        <w:rPr>
          <w:b/>
          <w:bCs/>
        </w:rPr>
        <w:t xml:space="preserve">Honest scope note.</w:t>
      </w:r>
      <w:r>
        <w:t xml:space="preserve"> </w:t>
      </w:r>
      <w:r>
        <w:t xml:space="preserve">Reporting 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a standalone</w:t>
      </w:r>
      <w:r>
        <w:t xml:space="preserve"> </w:t>
      </w:r>
      <w:r>
        <w:rPr>
          <w:rStyle w:val="VerbatimChar"/>
        </w:rPr>
        <w:t xml:space="preserve">ksi report</w:t>
      </w:r>
      <w:r>
        <w:t xml:space="preserve"> </w:t>
      </w:r>
      <w:r>
        <w:t xml:space="preserve">command</w:t>
      </w:r>
      <w:r>
        <w:t xml:space="preserve"> </w:t>
      </w:r>
      <w:r>
        <w:t xml:space="preserve">today — KSI results surface through the IR / ConMon pipeline (</w:t>
      </w:r>
      <w:r>
        <w:rPr>
          <w:rStyle w:val="VerbatimChar"/>
        </w:rPr>
        <w:t xml:space="preserve">conmon 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ir</w:t>
      </w:r>
      <w:r>
        <w:t xml:space="preserve"> </w:t>
      </w:r>
      <w:r>
        <w:t xml:space="preserve">governance reports), which render the evaluated results.</w:t>
      </w:r>
    </w:p>
    <w:bookmarkEnd w:id="10"/>
    <w:bookmarkStart w:id="11" w:name="Xd9b7c5a872e3335bca7915681c3a9e16a9198f1"/>
    <w:p>
      <w:pPr>
        <w:pStyle w:val="Heading2"/>
      </w:pPr>
      <w:r>
        <w:t xml:space="preserve">FedRAMP 20x alignment: a tagging discipline, not a rewrite</w:t>
      </w:r>
    </w:p>
    <w:p>
      <w:pPr>
        <w:pStyle w:val="FirstParagraph"/>
      </w:pPr>
      <w:r>
        <w:t xml:space="preserve">Per [the program decision]</w:t>
      </w:r>
      <w:r>
        <w:t xml:space="preserve"> </w:t>
      </w:r>
      <w:r>
        <w:t xml:space="preserve">and FMP_133, KSI</w:t>
      </w:r>
      <w:r>
        <w:t xml:space="preserve"> </w:t>
      </w:r>
      <w:r>
        <w:t xml:space="preserve">emission is designed as a</w:t>
      </w:r>
      <w:r>
        <w:t xml:space="preserve"> </w:t>
      </w:r>
      <w:r>
        <w:rPr>
          <w:b/>
          <w:bCs/>
        </w:rPr>
        <w:t xml:space="preserve">tag on the existing OSCAL pipeline</w:t>
      </w:r>
      <w:r>
        <w:t xml:space="preserve">, not a second</w:t>
      </w:r>
      <w:r>
        <w:t xml:space="preserve"> </w:t>
      </w:r>
      <w:r>
        <w:t xml:space="preserve">evidence path: generated artifacts carry</w:t>
      </w:r>
      <w:r>
        <w:t xml:space="preserve"> </w:t>
      </w:r>
      <w:r>
        <w:rPr>
          <w:rStyle w:val="VerbatimChar"/>
        </w:rPr>
        <w:t xml:space="preserve">fedramp:ksi-themes</w:t>
      </w:r>
      <w:r>
        <w:t xml:space="preserve">,</w:t>
      </w:r>
      <w:r>
        <w:t xml:space="preserve"> </w:t>
      </w:r>
      <w:r>
        <w:rPr>
          <w:rStyle w:val="VerbatimChar"/>
        </w:rPr>
        <w:t xml:space="preserve">ksi-mapping-source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ksi-freshness-cadence</w:t>
      </w:r>
      <w:r>
        <w:t xml:space="preserve"> </w:t>
      </w:r>
      <w:r>
        <w:t xml:space="preserve">metadata. This keeps a single</w:t>
      </w:r>
      <w:r>
        <w:t xml:space="preserve"> </w:t>
      </w:r>
      <w:r>
        <w:t xml:space="preserve">source of evidence while making it consumable in the KSI-themed form FedRAMP 20x</w:t>
      </w:r>
      <w:r>
        <w:t xml:space="preserve"> </w:t>
      </w:r>
      <w:r>
        <w:t xml:space="preserve">expects.</w:t>
      </w:r>
    </w:p>
    <w:bookmarkEnd w:id="11"/>
    <w:bookmarkStart w:id="12" w:name="maturity-snapshot"/>
    <w:p>
      <w:pPr>
        <w:pStyle w:val="Heading2"/>
      </w:pPr>
      <w:r>
        <w:t xml:space="preserve">Maturity snapshot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 rule corpus (190+ rules, 11 families)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fmp ksi evaluate</w:t>
            </w:r>
            <w:r>
              <w:t xml:space="preserve"> </w:t>
            </w:r>
            <w:r>
              <w:t xml:space="preserve">engine + result schema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bundle → OSCAL observation emission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KSI-RECIP reciprocity family (8 rules)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FedRAMP 20x KSI-theme tagging (the program decision)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 / DESIGN</w:t>
            </w:r>
            <w:r>
              <w:t xml:space="preserve"> </w:t>
            </w:r>
            <w:r>
              <w:t xml:space="preserve">(the program decision proposed)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CR26 KSI-control coverage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PARTIAL</w:t>
            </w:r>
            <w:r>
              <w:t xml:space="preserve"> </w:t>
            </w:r>
            <w:r>
              <w:t xml:space="preserve">(corpus authored against the SCuBA M365 surface first)</w:t>
            </w:r>
          </w:p>
        </w:tc>
      </w:tr>
    </w:tbl>
    <w:bookmarkEnd w:id="12"/>
    <w:bookmarkStart w:id="15" w:name="where-to-go-deeper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  <w:b/>
            <w:bCs/>
          </w:rPr>
          <w:t xml:space="preserve">Evidence Fabric Overview</w:t>
        </w:r>
      </w:hyperlink>
      <w:r>
        <w:t xml:space="preserve"> </w:t>
      </w:r>
      <w:r>
        <w:t xml:space="preserve">— how KSI results</w:t>
      </w:r>
      <w:r>
        <w:t xml:space="preserve"> </w:t>
      </w:r>
      <w:r>
        <w:t xml:space="preserve">become signed, reproducible evidence.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Architecture Series — Evidence Chain</w:t>
      </w:r>
      <w:r>
        <w:t xml:space="preserve"> </w:t>
      </w:r>
      <w:r>
        <w:t xml:space="preserve">—</w:t>
      </w:r>
      <w:r>
        <w:t xml:space="preserve"> </w:t>
      </w:r>
      <w:r>
        <w:t xml:space="preserve">the event → claim → OSCAL lineage KSIs ride on.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  <w:b/>
            <w:bCs/>
          </w:rPr>
          <w:t xml:space="preserve">Reciprocity &amp; Single-ATO Overview</w:t>
        </w:r>
      </w:hyperlink>
      <w:r>
        <w:t xml:space="preserve"> </w:t>
      </w:r>
      <w:r>
        <w:t xml:space="preserve">—</w:t>
      </w:r>
      <w:r>
        <w:t xml:space="preserve"> </w:t>
      </w:r>
      <w:r>
        <w:t xml:space="preserve">where the KSI-RECIP family does its work.</w:t>
      </w:r>
    </w:p>
    <w:bookmarkEnd w:id="15"/>
    <w:bookmarkStart w:id="16" w:name="leadership-takeaway"/>
    <w:p>
      <w:pPr>
        <w:pStyle w:val="Heading2"/>
      </w:pPr>
      <w:r>
        <w:t xml:space="preserve">Leadership takeaway</w:t>
      </w:r>
    </w:p>
    <w:p>
      <w:pPr>
        <w:pStyle w:val="FirstParagraph"/>
      </w:pPr>
      <w:r>
        <w:t xml:space="preserve">The Federal Modernization Program already ships the part of FedRAMP 20x that is hardest to fake: a governed</w:t>
      </w:r>
      <w:r>
        <w:t xml:space="preserve"> </w:t>
      </w:r>
      <w:r>
        <w:t xml:space="preserve">corpus of machine-checkable indicators and a deterministic engine that evaluates</w:t>
      </w:r>
      <w:r>
        <w:t xml:space="preserve"> </w:t>
      </w:r>
      <w:r>
        <w:t xml:space="preserve">a tenant against them and emits OSCAL-mapped evidence. The remaining work is</w:t>
      </w:r>
      <w:r>
        <w:t xml:space="preserve"> </w:t>
      </w:r>
      <w:r>
        <w:t xml:space="preserve">breadth (full CR26 coverage) and the FedRAMP-20x KSI-theme tagging layer — both</w:t>
      </w:r>
      <w:r>
        <w:t xml:space="preserve"> </w:t>
      </w:r>
      <w:r>
        <w:t xml:space="preserve">roadmap items, not blockers to using KSI evaluation for continuous assurance</w:t>
      </w:r>
      <w:r>
        <w:t xml:space="preserve"> </w:t>
      </w:r>
      <w:r>
        <w:t xml:space="preserve">today.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evidence-fabric-overview.md" TargetMode="External" /><Relationship Type="http://schemas.openxmlformats.org/officeDocument/2006/relationships/hyperlink" Id="rId14" Target="reciprocity-single-ato-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evidence-fabric-overview.md" TargetMode="External" /><Relationship Type="http://schemas.openxmlformats.org/officeDocument/2006/relationships/hyperlink" Id="rId14" Target="reciprocity-single-ato-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KSI Conformance Overview — Executive Brief</dc:title>
  <dc:creator/>
  <cp:keywords/>
  <dcterms:created xsi:type="dcterms:W3CDTF">2026-10-19T10:10:36Z</dcterms:created>
  <dcterms:modified xsi:type="dcterms:W3CDTF">2026-10-19T10:10:36Z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canon-source">
    <vt:lpwstr/>
  </property>
  <property fmtid="{D5CDD505-2E9C-101B-9397-08002B2CF9AE}" pid="4" name="derived-from">
    <vt:lpwstr>fmp canon</vt:lpwstr>
  </property>
  <property fmtid="{D5CDD505-2E9C-101B-9397-08002B2CF9AE}" pid="5" name="doc-type">
    <vt:lpwstr>executive-brief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status">
    <vt:lpwstr>Active</vt:lpwstr>
  </property>
  <property fmtid="{D5CDD505-2E9C-101B-9397-08002B2CF9AE}" pid="13" name="subtitle">
    <vt:lpwstr>Continuous, machine-checkable security indicators above the control catalog</vt:lpwstr>
  </property>
  <property fmtid="{D5CDD505-2E9C-101B-9397-08002B2CF9AE}" pid="14" name="tiers_adopted">
    <vt:lpwstr/>
  </property>
  <property fmtid="{D5CDD505-2E9C-101B-9397-08002B2CF9AE}" pid="15" name="toc-title">
    <vt:lpwstr>Table of contents</vt:lpwstr>
  </property>
</Properties>
</file>