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Executive Brief — Modernization Overview</w:t>
      </w:r>
    </w:p>
    <w:p>
      <w:pPr>
        <w:pStyle w:val="Subtitle"/>
      </w:pPr>
      <w:r>
        <w:t xml:space="preserve">FMP-anchored end-to-end modernization program arc for federal leadership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modernization-overview-image-01"/>
          <w:p>
            <w:pPr>
              <w:pStyle w:val="Compact"/>
              <w:jc w:val="center"/>
            </w:pPr>
            <w:r>
              <w:drawing>
                <wp:inline>
                  <wp:extent cx="5334000" cy="53340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../images/executive-briefs/zero-trust-overview-image-01-mission-class-placement-for-zero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Six-step modernization arc (identity to governance)</w:t>
            </w:r>
          </w:p>
          <w:bookmarkEnd w:id="12"/>
        </w:tc>
      </w:tr>
    </w:tbl>
    <w:p>
      <w:pPr>
        <w:pStyle w:val="BodyText"/>
      </w:pPr>
      <w:r>
        <w:t xml:space="preserve">This executive brief summarizes what a</w:t>
      </w:r>
      <w:r>
        <w:t xml:space="preserve"> </w:t>
      </w:r>
      <w:r>
        <w:rPr>
          <w:b/>
          <w:bCs/>
        </w:rPr>
        <w:t xml:space="preserve">FMP-anchored modernization program</w:t>
      </w:r>
      <w:r>
        <w:t xml:space="preserve"> </w:t>
      </w:r>
      <w:r>
        <w:t xml:space="preserve">looks like end to end for a federal CIO/CISO audience, and the expected</w:t>
      </w:r>
      <w:r>
        <w:t xml:space="preserve"> </w:t>
      </w:r>
      <w:r>
        <w:t xml:space="preserve">delivery arc from foundation to governance.</w:t>
      </w:r>
    </w:p>
    <w:bookmarkStart w:id="13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Federal Modernization Program modernization is an incremental, dependency-aware transformation that</w:t>
      </w:r>
      <w:r>
        <w:t xml:space="preserve"> </w:t>
      </w:r>
      <w:r>
        <w:t xml:space="preserve">starts with identity trust, extends into deterministic addressing and overlay</w:t>
      </w:r>
      <w:r>
        <w:t xml:space="preserve"> </w:t>
      </w:r>
      <w:r>
        <w:t xml:space="preserve">controls, and matures into telemetry-driven management and governance. The</w:t>
      </w:r>
      <w:r>
        <w:t xml:space="preserve"> </w:t>
      </w:r>
      <w:r>
        <w:t xml:space="preserve">program is structured to deliver mission value early while reducing long-tail</w:t>
      </w:r>
      <w:r>
        <w:t xml:space="preserve"> </w:t>
      </w:r>
      <w:r>
        <w:t xml:space="preserve">authorization and drift risk.</w:t>
      </w:r>
    </w:p>
    <w:p>
      <w:pPr>
        <w:pStyle w:val="BodyText"/>
      </w:pPr>
      <w:r>
        <w:t xml:space="preserve">The canonical modernization adapter inventory is governed in</w:t>
      </w:r>
      <w:r>
        <w:t xml:space="preserve"> </w:t>
      </w:r>
      <w:r>
        <w:rPr>
          <w:rStyle w:val="VerbatimChar"/>
        </w:rPr>
        <w:t xml:space="preserve">src/fmp/canon/modernization-registry.yaml</w:t>
      </w:r>
      <w:r>
        <w:t xml:space="preserve">. Treat that registry as the</w:t>
      </w:r>
      <w:r>
        <w:t xml:space="preserve"> </w:t>
      </w:r>
      <w:r>
        <w:t xml:space="preserve">authoritative source for the active modernization adapter set (with one</w:t>
      </w:r>
      <w:r>
        <w:t xml:space="preserve"> </w:t>
      </w:r>
      <w:r>
        <w:t xml:space="preserve">reserved planning entry) rather than maintaining per-brief adapter lists.</w:t>
      </w:r>
    </w:p>
    <w:bookmarkEnd w:id="13"/>
    <w:bookmarkStart w:id="14" w:name="Xc517984c895ce85353504e99126cc2ec05263ee"/>
    <w:p>
      <w:pPr>
        <w:pStyle w:val="Heading2"/>
      </w:pPr>
      <w:r>
        <w:t xml:space="preserve">The modernization arc (what changes first, and why)</w:t>
      </w:r>
    </w:p>
    <w:p>
      <w:pPr>
        <w:pStyle w:val="FirstParagraph"/>
      </w:pPr>
      <w:r>
        <w:t xml:space="preserve">The Federal Modernization Program sequencing is intentional: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Identity-first</w:t>
      </w:r>
      <w:r>
        <w:t xml:space="preserve"> </w:t>
      </w:r>
      <w:r>
        <w:t xml:space="preserve">— establish authoritative identity context and policy</w:t>
      </w:r>
      <w:r>
        <w:t xml:space="preserve"> </w:t>
      </w:r>
      <w:r>
        <w:t xml:space="preserve">enforcement anchors.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Addressing modernization</w:t>
      </w:r>
      <w:r>
        <w:t xml:space="preserve"> </w:t>
      </w:r>
      <w:r>
        <w:t xml:space="preserve">— bind identity to deterministic network</w:t>
      </w:r>
      <w:r>
        <w:t xml:space="preserve"> </w:t>
      </w:r>
      <w:r>
        <w:t xml:space="preserve">addressing and service location.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Overlay activation</w:t>
      </w:r>
      <w:r>
        <w:t xml:space="preserve"> </w:t>
      </w:r>
      <w:r>
        <w:t xml:space="preserve">— enforce certificate-anchored, policy-aware paths</w:t>
      </w:r>
      <w:r>
        <w:t xml:space="preserve"> </w:t>
      </w:r>
      <w:r>
        <w:t xml:space="preserve">without requiring rip-and-replace of incumbent platforms.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Telemetry integration</w:t>
      </w:r>
      <w:r>
        <w:t xml:space="preserve"> </w:t>
      </w:r>
      <w:r>
        <w:t xml:space="preserve">— convert telemetry from passive reporting into a</w:t>
      </w:r>
      <w:r>
        <w:t xml:space="preserve"> </w:t>
      </w:r>
      <w:r>
        <w:t xml:space="preserve">live control input for routing, security, and compliance decisions.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Management automation</w:t>
      </w:r>
      <w:r>
        <w:t xml:space="preserve"> </w:t>
      </w:r>
      <w:r>
        <w:t xml:space="preserve">— operationalize drift detection, CMDB</w:t>
      </w:r>
      <w:r>
        <w:t xml:space="preserve"> </w:t>
      </w:r>
      <w:r>
        <w:t xml:space="preserve">reconciliation, and policy execution through repeatable workflows.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Governance at runtime</w:t>
      </w:r>
      <w:r>
        <w:t xml:space="preserve"> </w:t>
      </w:r>
      <w:r>
        <w:t xml:space="preserve">— continuously generate evidence and maintain</w:t>
      </w:r>
      <w:r>
        <w:t xml:space="preserve"> </w:t>
      </w:r>
      <w:r>
        <w:t xml:space="preserve">authorization posture as an ongoing operating function.</w:t>
      </w:r>
    </w:p>
    <w:p>
      <w:pPr>
        <w:pStyle w:val="FirstParagraph"/>
      </w:pPr>
      <w:r>
        <w:t xml:space="preserve">This arc aligns with the program vision of a drop-in overlay that restores</w:t>
      </w:r>
      <w:r>
        <w:t xml:space="preserve"> </w:t>
      </w:r>
      <w:r>
        <w:t xml:space="preserve">cross-service telemetry and deterministic identity correlation in FedRAMP</w:t>
      </w:r>
      <w:r>
        <w:t xml:space="preserve"> </w:t>
      </w:r>
      <w:r>
        <w:t xml:space="preserve">Moderate environments.</w:t>
      </w:r>
    </w:p>
    <w:bookmarkEnd w:id="14"/>
    <w:bookmarkStart w:id="18" w:name="X64f0e492b8989696343423080c72cdc89fb8687"/>
    <w:p>
      <w:pPr>
        <w:pStyle w:val="Heading2"/>
      </w:pPr>
      <w:r>
        <w:t xml:space="preserve">Program model: from discovery to enterprise operation</w:t>
      </w:r>
    </w:p>
    <w:p>
      <w:pPr>
        <w:pStyle w:val="FirstParagraph"/>
      </w:pPr>
      <w:r>
        <w:t xml:space="preserve">The program executes in three leadership-facing phases:</w:t>
      </w:r>
    </w:p>
    <w:bookmarkStart w:id="15" w:name="phase-a-pre-overlay-discovery-and-design"/>
    <w:p>
      <w:pPr>
        <w:pStyle w:val="Heading3"/>
      </w:pPr>
      <w:r>
        <w:t xml:space="preserve">Phase A — Pre-overlay discovery and design</w:t>
      </w:r>
    </w:p>
    <w:p>
      <w:pPr>
        <w:pStyle w:val="Compact"/>
        <w:numPr>
          <w:ilvl w:val="0"/>
          <w:numId w:val="1002"/>
        </w:numPr>
      </w:pPr>
      <w:r>
        <w:t xml:space="preserve">Baseline identity, network, addressing, and telemetry posture.</w:t>
      </w:r>
    </w:p>
    <w:p>
      <w:pPr>
        <w:pStyle w:val="Compact"/>
        <w:numPr>
          <w:ilvl w:val="0"/>
          <w:numId w:val="1002"/>
        </w:numPr>
      </w:pPr>
      <w:r>
        <w:t xml:space="preserve">Confirm control-plane dependencies and authoritative data sources.</w:t>
      </w:r>
    </w:p>
    <w:p>
      <w:pPr>
        <w:pStyle w:val="Compact"/>
        <w:numPr>
          <w:ilvl w:val="0"/>
          <w:numId w:val="1002"/>
        </w:numPr>
      </w:pPr>
      <w:r>
        <w:t xml:space="preserve">Approve high-level and low-level designs for identity, addressing, overlay,</w:t>
      </w:r>
      <w:r>
        <w:t xml:space="preserve"> </w:t>
      </w:r>
      <w:r>
        <w:t xml:space="preserve">telemetry, and governance workstreams.</w:t>
      </w:r>
    </w:p>
    <w:p>
      <w:pPr>
        <w:pStyle w:val="Compact"/>
        <w:numPr>
          <w:ilvl w:val="0"/>
          <w:numId w:val="1002"/>
        </w:numPr>
      </w:pPr>
      <w:r>
        <w:t xml:space="preserve">Define objective readiness gates for pilot entry.</w:t>
      </w:r>
    </w:p>
    <w:bookmarkEnd w:id="15"/>
    <w:bookmarkStart w:id="16" w:name="phase-b-pilot-implementation"/>
    <w:p>
      <w:pPr>
        <w:pStyle w:val="Heading3"/>
      </w:pPr>
      <w:r>
        <w:t xml:space="preserve">Phase B — Pilot implementation</w:t>
      </w:r>
    </w:p>
    <w:p>
      <w:pPr>
        <w:pStyle w:val="Compact"/>
        <w:numPr>
          <w:ilvl w:val="0"/>
          <w:numId w:val="1003"/>
        </w:numPr>
      </w:pPr>
      <w:r>
        <w:t xml:space="preserve">Stand up identity and network pilots first, then attach deterministic</w:t>
      </w:r>
      <w:r>
        <w:t xml:space="preserve"> </w:t>
      </w:r>
      <w:r>
        <w:t xml:space="preserve">addressing and telemetry ingestion.</w:t>
      </w:r>
    </w:p>
    <w:p>
      <w:pPr>
        <w:pStyle w:val="Compact"/>
        <w:numPr>
          <w:ilvl w:val="0"/>
          <w:numId w:val="1003"/>
        </w:numPr>
      </w:pPr>
      <w:r>
        <w:t xml:space="preserve">Validate conversation-level correlation and policy determinism with limited</w:t>
      </w:r>
      <w:r>
        <w:t xml:space="preserve"> </w:t>
      </w:r>
      <w:r>
        <w:t xml:space="preserve">blast radius.</w:t>
      </w:r>
    </w:p>
    <w:p>
      <w:pPr>
        <w:pStyle w:val="Compact"/>
        <w:numPr>
          <w:ilvl w:val="0"/>
          <w:numId w:val="1003"/>
        </w:numPr>
      </w:pPr>
      <w:r>
        <w:t xml:space="preserve">Exercise change and rollback paths through governance workflows before broad</w:t>
      </w:r>
      <w:r>
        <w:t xml:space="preserve"> </w:t>
      </w:r>
      <w:r>
        <w:t xml:space="preserve">rollout.</w:t>
      </w:r>
    </w:p>
    <w:p>
      <w:pPr>
        <w:pStyle w:val="Compact"/>
        <w:numPr>
          <w:ilvl w:val="0"/>
          <w:numId w:val="1003"/>
        </w:numPr>
      </w:pPr>
      <w:r>
        <w:t xml:space="preserve">Produce early evidence artifacts to validate control intent and operational</w:t>
      </w:r>
      <w:r>
        <w:t xml:space="preserve"> </w:t>
      </w:r>
      <w:r>
        <w:t xml:space="preserve">feasibility.</w:t>
      </w:r>
    </w:p>
    <w:bookmarkEnd w:id="16"/>
    <w:bookmarkStart w:id="17" w:name="X0e427c4714929cdf853d7e751cce61b2d87767e"/>
    <w:p>
      <w:pPr>
        <w:pStyle w:val="Heading3"/>
      </w:pPr>
      <w:r>
        <w:t xml:space="preserve">Phase C — Enterprise rollout and continuous operations</w:t>
      </w:r>
    </w:p>
    <w:p>
      <w:pPr>
        <w:pStyle w:val="Compact"/>
        <w:numPr>
          <w:ilvl w:val="0"/>
          <w:numId w:val="1004"/>
        </w:numPr>
      </w:pPr>
      <w:r>
        <w:t xml:space="preserve">Expand proven patterns across domains and mission systems.</w:t>
      </w:r>
    </w:p>
    <w:p>
      <w:pPr>
        <w:pStyle w:val="Compact"/>
        <w:numPr>
          <w:ilvl w:val="0"/>
          <w:numId w:val="1004"/>
        </w:numPr>
      </w:pPr>
      <w:r>
        <w:t xml:space="preserve">Shift from milestone-only reviews to continuous telemetry/evidence cycles.</w:t>
      </w:r>
    </w:p>
    <w:p>
      <w:pPr>
        <w:pStyle w:val="Compact"/>
        <w:numPr>
          <w:ilvl w:val="0"/>
          <w:numId w:val="1004"/>
        </w:numPr>
      </w:pPr>
      <w:r>
        <w:t xml:space="preserve">Institutionalize drift detection and remediation as normal operations.</w:t>
      </w:r>
    </w:p>
    <w:p>
      <w:pPr>
        <w:pStyle w:val="Compact"/>
        <w:numPr>
          <w:ilvl w:val="0"/>
          <w:numId w:val="1004"/>
        </w:numPr>
      </w:pPr>
      <w:r>
        <w:t xml:space="preserve">Maintain modernization momentum without disruptive “big-bang” cutovers.</w:t>
      </w:r>
    </w:p>
    <w:bookmarkEnd w:id="17"/>
    <w:bookmarkEnd w:id="18"/>
    <w:bookmarkStart w:id="19" w:name="X1431b1456d8a68473b725a718d5359525aa5a9d"/>
    <w:p>
      <w:pPr>
        <w:pStyle w:val="Heading2"/>
      </w:pPr>
      <w:r>
        <w:t xml:space="preserve">FedRAMP 20x continuous authorization relationship</w:t>
      </w:r>
    </w:p>
    <w:p>
      <w:pPr>
        <w:pStyle w:val="FirstParagraph"/>
      </w:pPr>
      <w:r>
        <w:t xml:space="preserve">The Federal Modernization Program modernization directly supports FedRAMP 20x direction by shifting from</w:t>
      </w:r>
      <w:r>
        <w:t xml:space="preserve"> </w:t>
      </w:r>
      <w:r>
        <w:t xml:space="preserve">periodic, document-heavy authorization behavior to machine-assisted continuous</w:t>
      </w:r>
      <w:r>
        <w:t xml:space="preserve"> </w:t>
      </w:r>
      <w:r>
        <w:t xml:space="preserve">assurance: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Telemetry-backed validation</w:t>
      </w:r>
      <w:r>
        <w:t xml:space="preserve"> </w:t>
      </w:r>
      <w:r>
        <w:t xml:space="preserve">replaces point-in-time posture assumptions.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Automated evidence generation</w:t>
      </w:r>
      <w:r>
        <w:t xml:space="preserve"> </w:t>
      </w:r>
      <w:r>
        <w:t xml:space="preserve">supports recurring control verification.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Deterministic identity and policy outcomes</w:t>
      </w:r>
      <w:r>
        <w:t xml:space="preserve"> </w:t>
      </w:r>
      <w:r>
        <w:t xml:space="preserve">reduce ambiguity during</w:t>
      </w:r>
      <w:r>
        <w:t xml:space="preserve"> </w:t>
      </w:r>
      <w:r>
        <w:t xml:space="preserve">assessor and authorizing-official review.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OSCAL-ready evidence flows</w:t>
      </w:r>
      <w:r>
        <w:t xml:space="preserve"> </w:t>
      </w:r>
      <w:r>
        <w:t xml:space="preserve">improve repeatability and auditability.</w:t>
      </w:r>
    </w:p>
    <w:p>
      <w:pPr>
        <w:pStyle w:val="FirstParagraph"/>
      </w:pPr>
      <w:r>
        <w:t xml:space="preserve">In practice, this means modernization is not separate from authorization:</w:t>
      </w:r>
      <w:r>
        <w:t xml:space="preserve"> </w:t>
      </w:r>
      <w:r>
        <w:t xml:space="preserve">modernization produces the operational conditions required for continuous</w:t>
      </w:r>
      <w:r>
        <w:t xml:space="preserve"> </w:t>
      </w:r>
      <w:r>
        <w:t xml:space="preserve">authorization to be credible.</w:t>
      </w:r>
    </w:p>
    <w:bookmarkEnd w:id="19"/>
    <w:bookmarkStart w:id="20" w:name="maturity-and-delivery-expectation"/>
    <w:p>
      <w:pPr>
        <w:pStyle w:val="Heading2"/>
      </w:pPr>
      <w:r>
        <w:t xml:space="preserve">Maturity and delivery expectation</w:t>
      </w:r>
    </w:p>
    <w:p>
      <w:pPr>
        <w:pStyle w:val="FirstParagraph"/>
      </w:pPr>
      <w:r>
        <w:t xml:space="preserve">Most modernization components in this program are currently</w:t>
      </w:r>
      <w:r>
        <w:t xml:space="preserve"> </w:t>
      </w:r>
      <w:r>
        <w:rPr>
          <w:b/>
          <w:bCs/>
        </w:rPr>
        <w:t xml:space="preserve">TARGET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DESIGN-ONLY</w:t>
      </w:r>
      <w:r>
        <w:t xml:space="preserve"> </w:t>
      </w:r>
      <w:r>
        <w:t xml:space="preserve">maturity. Leadership should treat the roadmap as a governed</w:t>
      </w:r>
      <w:r>
        <w:t xml:space="preserve"> </w:t>
      </w:r>
      <w:r>
        <w:t xml:space="preserve">delivery arc with active build-out, not as a claim of full operational</w:t>
      </w:r>
      <w:r>
        <w:t xml:space="preserve"> </w:t>
      </w:r>
      <w:r>
        <w:t xml:space="preserve">completion across every workstream today.</w:t>
      </w:r>
    </w:p>
    <w:p>
      <w:pPr>
        <w:pStyle w:val="BodyText"/>
      </w:pPr>
      <w:r>
        <w:t xml:space="preserve">Accordingly, this brief is marked</w:t>
      </w:r>
      <w:r>
        <w:t xml:space="preserve"> </w:t>
      </w:r>
      <w:r>
        <w:rPr>
          <w:rStyle w:val="VerbatimChar"/>
        </w:rPr>
        <w:t xml:space="preserve">aspirational: true</w:t>
      </w:r>
      <w:r>
        <w:t xml:space="preserve"> </w:t>
      </w:r>
      <w:r>
        <w:t xml:space="preserve">to reflect current</w:t>
      </w:r>
      <w:r>
        <w:t xml:space="preserve"> </w:t>
      </w:r>
      <w:r>
        <w:t xml:space="preserve">program maturity and avoid overstating implementation status.</w:t>
      </w:r>
    </w:p>
    <w:bookmarkEnd w:id="20"/>
    <w:bookmarkStart w:id="21" w:name="leadership-implications"/>
    <w:p>
      <w:pPr>
        <w:pStyle w:val="Heading2"/>
      </w:pPr>
      <w:r>
        <w:t xml:space="preserve">Leadership implications</w:t>
      </w:r>
    </w:p>
    <w:p>
      <w:pPr>
        <w:pStyle w:val="Compact"/>
        <w:numPr>
          <w:ilvl w:val="0"/>
          <w:numId w:val="1006"/>
        </w:numPr>
      </w:pPr>
      <w:r>
        <w:t xml:space="preserve">Fund and govern the program as a sequence, not as independent projects.</w:t>
      </w:r>
    </w:p>
    <w:p>
      <w:pPr>
        <w:pStyle w:val="Compact"/>
        <w:numPr>
          <w:ilvl w:val="0"/>
          <w:numId w:val="1006"/>
        </w:numPr>
      </w:pPr>
      <w:r>
        <w:t xml:space="preserve">Hold phase gates on evidence quality and operational determinism, not only</w:t>
      </w:r>
      <w:r>
        <w:t xml:space="preserve"> </w:t>
      </w:r>
      <w:r>
        <w:t xml:space="preserve">on schedule milestones.</w:t>
      </w:r>
    </w:p>
    <w:p>
      <w:pPr>
        <w:pStyle w:val="Compact"/>
        <w:numPr>
          <w:ilvl w:val="0"/>
          <w:numId w:val="1006"/>
        </w:numPr>
      </w:pPr>
      <w:r>
        <w:t xml:space="preserve">Use the modernization registry and canon documents as the single source of</w:t>
      </w:r>
      <w:r>
        <w:t xml:space="preserve"> </w:t>
      </w:r>
      <w:r>
        <w:t xml:space="preserve">truth for scope and maturity decisions.</w:t>
      </w:r>
    </w:p>
    <w:p>
      <w:pPr>
        <w:pStyle w:val="Compact"/>
        <w:numPr>
          <w:ilvl w:val="0"/>
          <w:numId w:val="1006"/>
        </w:numPr>
      </w:pPr>
      <w:r>
        <w:t xml:space="preserve">Start Phase 2 architecture-series deep dives immediately after this Phase 1</w:t>
      </w:r>
      <w:r>
        <w:t xml:space="preserve"> </w:t>
      </w:r>
      <w:r>
        <w:t xml:space="preserve">executive-brief set is complete.</w:t>
      </w:r>
    </w:p>
    <w:bookmarkEnd w:id="21"/>
    <w:bookmarkStart w:id="24" w:name="where-to-go-deeper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7"/>
        </w:numPr>
      </w:pPr>
      <w:hyperlink r:id="rId22">
        <w:r>
          <w:rPr>
            <w:rStyle w:val="Hyperlink"/>
            <w:b/>
            <w:bCs/>
          </w:rPr>
          <w:t xml:space="preserve">Governance through Modernization whitepaper</w:t>
        </w:r>
      </w:hyperlink>
      <w:r>
        <w:t xml:space="preserve"> </w:t>
      </w:r>
      <w:r>
        <w:t xml:space="preserve">—</w:t>
      </w:r>
      <w:r>
        <w:t xml:space="preserve"> </w:t>
      </w:r>
      <w:r>
        <w:t xml:space="preserve">the long-form program treatment.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Operational Guide — the Federal Modernization Program Modernization Program</w:t>
      </w:r>
      <w:r>
        <w:t xml:space="preserve"> </w:t>
      </w:r>
      <w:r>
        <w:t xml:space="preserve">—</w:t>
      </w:r>
      <w:r>
        <w:t xml:space="preserve"> </w:t>
      </w:r>
      <w:r>
        <w:t xml:space="preserve">the chapter-by-chapter delivery playbook.</w:t>
      </w:r>
    </w:p>
    <w:p>
      <w:pPr>
        <w:pStyle w:val="Compact"/>
        <w:numPr>
          <w:ilvl w:val="0"/>
          <w:numId w:val="1007"/>
        </w:numPr>
      </w:pPr>
      <w:hyperlink r:id="rId23">
        <w:r>
          <w:rPr>
            <w:rStyle w:val="Hyperlink"/>
            <w:b/>
            <w:bCs/>
          </w:rPr>
          <w:t xml:space="preserve">Adapter Ecosystem Overview</w:t>
        </w:r>
      </w:hyperlink>
      <w:r>
        <w:t xml:space="preserve"> </w:t>
      </w:r>
      <w:r>
        <w:t xml:space="preserve">— the</w:t>
      </w:r>
      <w:r>
        <w:t xml:space="preserve"> </w:t>
      </w:r>
      <w:r>
        <w:t xml:space="preserve">modernization adapter set that executes the arc.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2" Target="../whitepapers/modernization-governance-whitepaper.md" TargetMode="External" /><Relationship Type="http://schemas.openxmlformats.org/officeDocument/2006/relationships/hyperlink" Id="rId23" Target="adapter-ecosystem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../whitepapers/modernization-governance-whitepaper.md" TargetMode="External" /><Relationship Type="http://schemas.openxmlformats.org/officeDocument/2006/relationships/hyperlink" Id="rId23" Target="adapter-ecosystem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Brief — Modernization Overview</dc:title>
  <dc:creator/>
  <cp:keywords/>
  <dcterms:created xsi:type="dcterms:W3CDTF">2026-10-19T10:10:36Z</dcterms:created>
  <dcterms:modified xsi:type="dcterms:W3CDTF">2026-10-19T10:10:36Z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canon-source">
    <vt:lpwstr/>
  </property>
  <property fmtid="{D5CDD505-2E9C-101B-9397-08002B2CF9AE}" pid="4" name="derived-from">
    <vt:lpwstr>fmp canon</vt:lpwstr>
  </property>
  <property fmtid="{D5CDD505-2E9C-101B-9397-08002B2CF9AE}" pid="5" name="doc-type">
    <vt:lpwstr>executive-brief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status">
    <vt:lpwstr>Active</vt:lpwstr>
  </property>
  <property fmtid="{D5CDD505-2E9C-101B-9397-08002B2CF9AE}" pid="13" name="subtitle">
    <vt:lpwstr>FMP-anchored end-to-end modernization program arc for federal leadership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