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Reciprocity &amp; Single-ATO Overview — Executive Brief</w:t>
      </w:r>
    </w:p>
    <w:p>
      <w:pPr>
        <w:pStyle w:val="Subtitle"/>
      </w:pPr>
      <w:r>
        <w:t xml:space="preserve">One authorization, many agencies — with signed, self-verifying evidence per agency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X362cdbfc52371a8876cd1c5b39f401dfbf3764a"/>
    <w:p>
      <w:pPr>
        <w:pStyle w:val="Heading1"/>
      </w:pPr>
      <w:r>
        <w:t xml:space="preserve">Reciprocity &amp; Single-ATO Overview — Executive Brief</w:t>
      </w:r>
    </w:p>
    <w:p>
      <w:pPr>
        <w:pStyle w:val="FirstParagraph"/>
      </w:pPr>
      <w:r>
        <w:t xml:space="preserve">The Single-ATO Reciprocity Model answers a specific federal problem: when one</w:t>
      </w:r>
      <w:r>
        <w:t xml:space="preserve"> </w:t>
      </w:r>
      <w:r>
        <w:t xml:space="preserve">platform (for example, an OPM-operated HRIT service) is consumed by many</w:t>
      </w:r>
      <w:r>
        <w:t xml:space="preserve"> </w:t>
      </w:r>
      <w:r>
        <w:t xml:space="preserve">agencies, do you re-authorize it N times, or once? The Federal Modernization Program’s canon</w:t>
      </w:r>
      <w:r>
        <w:t xml:space="preserve"> </w:t>
      </w:r>
      <w:r>
        <w:t xml:space="preserve">([the program decision])</w:t>
      </w:r>
      <w:r>
        <w:t xml:space="preserve"> </w:t>
      </w:r>
      <w:r>
        <w:t xml:space="preserve">is unambiguous:</w:t>
      </w:r>
      <w:r>
        <w:t xml:space="preserve"> </w:t>
      </w:r>
      <w:r>
        <w:rPr>
          <w:b/>
          <w:bCs/>
        </w:rPr>
        <w:t xml:space="preserve">one System Security Plan, one controlling Authority to Operate,</w:t>
      </w:r>
      <w:r>
        <w:rPr>
          <w:b/>
          <w:bCs/>
        </w:rPr>
        <w:t xml:space="preserve"> </w:t>
      </w:r>
      <w:r>
        <w:rPr>
          <w:b/>
          <w:bCs/>
        </w:rPr>
        <w:t xml:space="preserve">covering all consuming agencies</w:t>
      </w:r>
      <w:r>
        <w:t xml:space="preserve">, with per-agency differences expressed as</w:t>
      </w:r>
      <w:r>
        <w:t xml:space="preserve"> </w:t>
      </w:r>
      <w:r>
        <w:rPr>
          <w:i/>
          <w:iCs/>
        </w:rPr>
        <w:t xml:space="preserve">configuration latitude</w:t>
      </w:r>
      <w:r>
        <w:t xml:space="preserve"> </w:t>
      </w:r>
      <w:r>
        <w:t xml:space="preserve">rather than separate SSPs or POA&amp;Ms.</w:t>
      </w:r>
    </w:p>
    <w:p>
      <w:pPr>
        <w:pStyle w:val="BlockText"/>
      </w:pPr>
      <w:r>
        <w:rPr>
          <w:i/>
          <w:iCs/>
        </w:rPr>
        <w:t xml:space="preserve">This solution will have a single authoritative ATO covering all customers</w:t>
      </w:r>
      <w:r>
        <w:t xml:space="preserve"> </w:t>
      </w:r>
      <w:r>
        <w:t xml:space="preserve">—</w:t>
      </w:r>
      <w:r>
        <w:t xml:space="preserve"> </w:t>
      </w:r>
      <w:r>
        <w:t xml:space="preserve">agency differences are handled via configuration, not per-agency forks.</w:t>
      </w:r>
    </w:p>
    <w:bookmarkStart w:id="9" w:name="how-reciprocity-is-recorded"/>
    <w:p>
      <w:pPr>
        <w:pStyle w:val="Heading2"/>
      </w:pPr>
      <w:r>
        <w:t xml:space="preserve">How reciprocity is recorded</w:t>
      </w:r>
    </w:p>
    <w:p>
      <w:pPr>
        <w:pStyle w:val="FirstParagraph"/>
      </w:pPr>
      <w:r>
        <w:t xml:space="preserve">Per FMP_140,</w:t>
      </w:r>
      <w:r>
        <w:t xml:space="preserve"> </w:t>
      </w:r>
      <w:r>
        <w:t xml:space="preserve">each consuming agency receives a</w:t>
      </w:r>
      <w:r>
        <w:t xml:space="preserve"> </w:t>
      </w:r>
      <w:r>
        <w:rPr>
          <w:b/>
          <w:bCs/>
        </w:rPr>
        <w:t xml:space="preserve">signed reciprocity record</w:t>
      </w:r>
      <w:r>
        <w:t xml:space="preserve"> </w:t>
      </w:r>
      <w:r>
        <w:t xml:space="preserve">— not a new</w:t>
      </w:r>
      <w:r>
        <w:t xml:space="preserve"> </w:t>
      </w:r>
      <w:r>
        <w:t xml:space="preserve">authorization, but a cryptographic acknowledgement that it operates under the</w:t>
      </w:r>
      <w:r>
        <w:t xml:space="preserve"> </w:t>
      </w:r>
      <w:r>
        <w:t xml:space="preserve">controlling ATO. The Federal Modernization Program ships the full operational surface today: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onboard-agency</w:t>
            </w:r>
          </w:p>
        </w:tc>
        <w:tc>
          <w:tcPr/>
          <w:p>
            <w:pPr>
              <w:pStyle w:val="Compact"/>
            </w:pPr>
            <w:r>
              <w:t xml:space="preserve">Emits a signed (HMAC-SHA256) reciprocity record for a consuming agency, citing the controlling ATO and its legal basis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list-records</w:t>
            </w:r>
          </w:p>
        </w:tc>
        <w:tc>
          <w:tcPr/>
          <w:p>
            <w:pPr>
              <w:pStyle w:val="Compact"/>
            </w:pPr>
            <w:r>
              <w:t xml:space="preserve">Enumerates records and computes Active/Expired status against current 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verify</w:t>
            </w:r>
          </w:p>
        </w:tc>
        <w:tc>
          <w:tcPr/>
          <w:p>
            <w:pPr>
              <w:pStyle w:val="Compact"/>
            </w:pPr>
            <w:r>
              <w:t xml:space="preserve">Verifies a record’s HMAC signature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conmon ato-cadence-check</w:t>
            </w:r>
          </w:p>
        </w:tc>
        <w:tc>
          <w:tcPr/>
          <w:p>
            <w:pPr>
              <w:pStyle w:val="Compact"/>
            </w:pPr>
            <w:r>
              <w:t xml:space="preserve">Enforces the SSP/reauthorization SLAs (draft ≤30d, final ≤45d, reauth ≥30d before expiry)</w:t>
            </w:r>
          </w:p>
        </w:tc>
      </w:tr>
    </w:tbl>
    <w:p>
      <w:pPr>
        <w:pStyle w:val="BodyText"/>
      </w:pPr>
      <w:r>
        <w:t xml:space="preserve">Each record names the controlling ATO, the consuming agency, the legal basis</w:t>
      </w:r>
      <w:r>
        <w:t xml:space="preserve"> </w:t>
      </w:r>
      <w:r>
        <w:t xml:space="preserve">(e.g. FedRAMP Rev 5, OMB M-24-15, FISMA §3554), and the agency’s configuration</w:t>
      </w:r>
      <w:r>
        <w:t xml:space="preserve"> </w:t>
      </w:r>
      <w:r>
        <w:t xml:space="preserve">elections — and is anchored as an</w:t>
      </w:r>
      <w:r>
        <w:t xml:space="preserve"> </w:t>
      </w:r>
      <w:r>
        <w:rPr>
          <w:rStyle w:val="VerbatimChar"/>
        </w:rPr>
        <w:t xml:space="preserve">ato-decision → reciprocity-record</w:t>
      </w:r>
      <w:r>
        <w:t xml:space="preserve"> </w:t>
      </w:r>
      <w:r>
        <w:t xml:space="preserve">edge in the</w:t>
      </w:r>
      <w:r>
        <w:t xml:space="preserve"> </w:t>
      </w:r>
      <w:r>
        <w:t xml:space="preserve">evidence graph (FMP_113 v1.2).</w:t>
      </w:r>
    </w:p>
    <w:bookmarkEnd w:id="9"/>
    <w:bookmarkStart w:id="10" w:name="self-verifying-per-agency-bundles"/>
    <w:p>
      <w:pPr>
        <w:pStyle w:val="Heading2"/>
      </w:pPr>
      <w:r>
        <w:t xml:space="preserve">Self-verifying per-agency bundles</w:t>
      </w:r>
    </w:p>
    <w:p>
      <w:pPr>
        <w:pStyle w:val="FirstParagraph"/>
      </w:pPr>
      <w:r>
        <w:t xml:space="preserve">A consuming agency’s authorizing official should not need the Federal Modernization Program access — or even</w:t>
      </w:r>
      <w:r>
        <w:t xml:space="preserve"> </w:t>
      </w:r>
      <w:r>
        <w:t xml:space="preserve">a network connection — to trust their evidence. The per-agency reciprocity</w:t>
      </w:r>
      <w:r>
        <w:t xml:space="preserve"> </w:t>
      </w:r>
      <w:r>
        <w:t xml:space="preserve">bundle (FMP_140 §7) packages the reciprocity record, scoped component</w:t>
      </w:r>
      <w:r>
        <w:t xml:space="preserve"> </w:t>
      </w:r>
      <w:r>
        <w:t xml:space="preserve">definition, assessment results, and a hashed manifest so the bundle</w:t>
      </w:r>
      <w:r>
        <w:t xml:space="preserve"> </w:t>
      </w:r>
      <w:r>
        <w:rPr>
          <w:b/>
          <w:bCs/>
        </w:rPr>
        <w:t xml:space="preserve">self-verifies with nothing but the Python standard library</w:t>
      </w:r>
      <w:r>
        <w:t xml:space="preserve">. Tampering with</w:t>
      </w:r>
      <w:r>
        <w:t xml:space="preserve"> </w:t>
      </w:r>
      <w:r>
        <w:t xml:space="preserve">any file breaks the manifest hash.</w:t>
      </w:r>
    </w:p>
    <w:bookmarkEnd w:id="10"/>
    <w:bookmarkStart w:id="12" w:name="configuration-latitude-is-drift-governed"/>
    <w:p>
      <w:pPr>
        <w:pStyle w:val="Heading2"/>
      </w:pPr>
      <w:r>
        <w:t xml:space="preserve">Configuration latitude is drift-governed</w:t>
      </w:r>
    </w:p>
    <w:p>
      <w:pPr>
        <w:pStyle w:val="FirstParagraph"/>
      </w:pPr>
      <w:r>
        <w:t xml:space="preserve">“Configuration-only differentiation”</w:t>
      </w:r>
      <w:r>
        <w:t xml:space="preserve"> </w:t>
      </w:r>
      <w:r>
        <w:t xml:space="preserve">is not a loophole. Each agency’s elections</w:t>
      </w:r>
      <w:r>
        <w:t xml:space="preserve"> </w:t>
      </w:r>
      <w:r>
        <w:t xml:space="preserve">are bounded by the SSP’s latitude table, and deviations surface as first-class</w:t>
      </w:r>
      <w:r>
        <w:t xml:space="preserve"> </w:t>
      </w:r>
      <w:hyperlink r:id="rId11">
        <w:r>
          <w:rPr>
            <w:rStyle w:val="Hyperlink"/>
          </w:rPr>
          <w:t xml:space="preserve">drift findings</w:t>
        </w:r>
      </w:hyperlink>
      <w:r>
        <w:t xml:space="preserve">: a configuration the SSP forbids is a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P1; an unrecognized tenant principal is a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 </w:t>
      </w:r>
      <w:r>
        <w:t xml:space="preserve">P1.</w:t>
      </w:r>
      <w:r>
        <w:t xml:space="preserve"> </w:t>
      </w:r>
      <w:r>
        <w:t xml:space="preserve">Eight KSIs (</w:t>
      </w:r>
      <w:r>
        <w:rPr>
          <w:b/>
          <w:bCs/>
        </w:rPr>
        <w:t xml:space="preserve">KSI-RECIP-001..008</w:t>
      </w:r>
      <w:r>
        <w:t xml:space="preserve">) continuously check the program’s health —</w:t>
      </w:r>
      <w:r>
        <w:t xml:space="preserve"> </w:t>
      </w:r>
      <w:r>
        <w:t xml:space="preserve">legal-basis citation, controlling-ATO linkage, no silent expirations, SSP cadence</w:t>
      </w:r>
      <w:r>
        <w:t xml:space="preserve"> </w:t>
      </w:r>
      <w:r>
        <w:t xml:space="preserve">(KSI-RECIP-005), the 30-day reauthorization window (KSI-RECIP-006), and bundle</w:t>
      </w:r>
      <w:r>
        <w:t xml:space="preserve"> </w:t>
      </w:r>
      <w:r>
        <w:t xml:space="preserve">signature integrity.</w:t>
      </w:r>
    </w:p>
    <w:bookmarkEnd w:id="12"/>
    <w:bookmarkStart w:id="13" w:name="the-honest-trade-off"/>
    <w:p>
      <w:pPr>
        <w:pStyle w:val="Heading2"/>
      </w:pPr>
      <w:r>
        <w:t xml:space="preserve">The honest trade-off</w:t>
      </w:r>
    </w:p>
    <w:p>
      <w:pPr>
        <w:pStyle w:val="FirstParagraph"/>
      </w:pPr>
      <w:r>
        <w:t xml:space="preserve">Single-ATO reciprocity concentrates risk by design: a single authoritative ATO</w:t>
      </w:r>
      <w:r>
        <w:t xml:space="preserve"> </w:t>
      </w:r>
      <w:r>
        <w:t xml:space="preserve">is the point of leverage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 single point of failure.</w:t>
      </w:r>
      <w:r>
        <w:t xml:space="preserve"> </w:t>
      </w:r>
      <w:r>
        <w:rPr>
          <w:b/>
          <w:bCs/>
        </w:rPr>
        <w:t xml:space="preserve">If the controlling</w:t>
      </w:r>
      <w:r>
        <w:rPr>
          <w:b/>
          <w:bCs/>
        </w:rPr>
        <w:t xml:space="preserve"> </w:t>
      </w:r>
      <w:r>
        <w:rPr>
          <w:b/>
          <w:bCs/>
        </w:rPr>
        <w:t xml:space="preserve">ATO lapses, every consuming agency is affected simultaneously.</w:t>
      </w:r>
      <w:r>
        <w:t xml:space="preserve"> </w:t>
      </w:r>
      <w:r>
        <w:t xml:space="preserve">That is exactly</w:t>
      </w:r>
      <w:r>
        <w:t xml:space="preserve"> </w:t>
      </w:r>
      <w:r>
        <w:t xml:space="preserve">why the cadence SLAs and the KSI-RECIP reauthorization indicators exist — the</w:t>
      </w:r>
      <w:r>
        <w:t xml:space="preserve"> </w:t>
      </w:r>
      <w:r>
        <w:t xml:space="preserve">model trades distributed redundancy for centralized rigor, and the rigor has to</w:t>
      </w:r>
      <w:r>
        <w:t xml:space="preserve"> </w:t>
      </w:r>
      <w:r>
        <w:t xml:space="preserve">be continuously proven.</w:t>
      </w:r>
    </w:p>
    <w:bookmarkEnd w:id="13"/>
    <w:bookmarkStart w:id="14" w:name="maturity-snapshot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Reciprocity doctrine (the program decision) + model spec (FMP_140)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  <w:r>
              <w:t xml:space="preserve"> </w:t>
            </w:r>
            <w:r>
              <w:t xml:space="preserve">(canon)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reciprocity</w:t>
            </w:r>
            <w:r>
              <w:t xml:space="preserve"> </w:t>
            </w:r>
            <w:r>
              <w:t xml:space="preserve">CLI (onboard-agency / list-records / verify)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Signed record emitter + self-verifying bundle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conmon ato-cadence-check</w:t>
            </w:r>
            <w:r>
              <w:t xml:space="preserve"> </w:t>
            </w:r>
            <w:r>
              <w:t xml:space="preserve">SLA validator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KSI-RECIP-001..008 indicators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graph ATO-decision / reciprocity-record nodes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End-to-end OSCAL SSP/POA&amp;M reciprocity output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(canon-defined; emission deferred per the program decision)</w:t>
            </w:r>
          </w:p>
        </w:tc>
      </w:tr>
    </w:tbl>
    <w:bookmarkEnd w:id="14"/>
    <w:bookmarkStart w:id="18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  <w:b/>
            <w:bCs/>
          </w:rPr>
          <w:t xml:space="preserve">HR-Driven Identity series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the primary narrative: how authoritative HR events flow into Entra ID under a</w:t>
      </w:r>
      <w:r>
        <w:t xml:space="preserve"> </w:t>
      </w:r>
      <w:r>
        <w:t xml:space="preserve">single ATO, with reciprocity as a byproduct of normal operations.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b/>
            <w:bCs/>
          </w:rPr>
          <w:t xml:space="preserve">KSI Conformance Overview</w:t>
        </w:r>
      </w:hyperlink>
      <w:r>
        <w:t xml:space="preserve"> </w:t>
      </w:r>
      <w:r>
        <w:t xml:space="preserve">— the KSI-RECIP</w:t>
      </w:r>
      <w:r>
        <w:t xml:space="preserve"> </w:t>
      </w:r>
      <w:r>
        <w:t xml:space="preserve">family in context.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  <w:b/>
            <w:bCs/>
          </w:rPr>
          <w:t xml:space="preserve">Evidence Fabric Overview</w:t>
        </w:r>
      </w:hyperlink>
      <w:r>
        <w:t xml:space="preserve"> </w:t>
      </w:r>
      <w:r>
        <w:t xml:space="preserve">— the signing and</w:t>
      </w:r>
      <w:r>
        <w:t xml:space="preserve"> </w:t>
      </w:r>
      <w:r>
        <w:t xml:space="preserve">provenance substrate the bundles rely on.</w:t>
      </w:r>
    </w:p>
    <w:bookmarkEnd w:id="18"/>
    <w:bookmarkStart w:id="19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 turns reciprocity from a paperwork promise into a cryptographic, continuously</w:t>
      </w:r>
      <w:r>
        <w:t xml:space="preserve"> </w:t>
      </w:r>
      <w:r>
        <w:t xml:space="preserve">monitored fact: one ATO, signed per-agency records that auditors can verify</w:t>
      </w:r>
      <w:r>
        <w:t xml:space="preserve"> </w:t>
      </w:r>
      <w:r>
        <w:t xml:space="preserve">offline, configuration latitude bounded by drift detection, and eight standing</w:t>
      </w:r>
      <w:r>
        <w:t xml:space="preserve"> </w:t>
      </w:r>
      <w:r>
        <w:t xml:space="preserve">indicators on program health. The remaining gap is the full OSCAL SSP/POA&amp;M</w:t>
      </w:r>
      <w:r>
        <w:t xml:space="preserve"> </w:t>
      </w:r>
      <w:r>
        <w:t xml:space="preserve">reciprocity output profile — defined in canon, deferred in emission — so treat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evidence and verification</w:t>
      </w:r>
      <w:r>
        <w:t xml:space="preserve"> </w:t>
      </w:r>
      <w:r>
        <w:t xml:space="preserve">path as shipped and the</w:t>
      </w:r>
      <w:r>
        <w:t xml:space="preserve"> </w:t>
      </w:r>
      <w:r>
        <w:rPr>
          <w:i/>
          <w:iCs/>
        </w:rPr>
        <w:t xml:space="preserve">generated authorization</w:t>
      </w:r>
      <w:r>
        <w:rPr>
          <w:i/>
          <w:iCs/>
        </w:rPr>
        <w:t xml:space="preserve"> </w:t>
      </w:r>
      <w:r>
        <w:rPr>
          <w:i/>
          <w:iCs/>
        </w:rPr>
        <w:t xml:space="preserve">package</w:t>
      </w:r>
      <w:r>
        <w:t xml:space="preserve"> </w:t>
      </w:r>
      <w:r>
        <w:t xml:space="preserve">as roadmap.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../hr-driven-iam/index.md" TargetMode="External" /><Relationship Type="http://schemas.openxmlformats.org/officeDocument/2006/relationships/hyperlink" Id="rId11" Target="drift-engine-overview.md" TargetMode="External" /><Relationship Type="http://schemas.openxmlformats.org/officeDocument/2006/relationships/hyperlink" Id="rId17" Target="evidence-fabric-overview.md" TargetMode="External" /><Relationship Type="http://schemas.openxmlformats.org/officeDocument/2006/relationships/hyperlink" Id="rId16" Target="ksi-conformance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../hr-driven-iam/index.md" TargetMode="External" /><Relationship Type="http://schemas.openxmlformats.org/officeDocument/2006/relationships/hyperlink" Id="rId11" Target="drift-engine-overview.md" TargetMode="External" /><Relationship Type="http://schemas.openxmlformats.org/officeDocument/2006/relationships/hyperlink" Id="rId17" Target="evidence-fabric-overview.md" TargetMode="External" /><Relationship Type="http://schemas.openxmlformats.org/officeDocument/2006/relationships/hyperlink" Id="rId16" Target="ksi-conformance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Reciprocity &amp; Single-ATO Overview — Executive Brief</dc:title>
  <dc:creator/>
  <cp:keywords/>
  <dcterms:created xsi:type="dcterms:W3CDTF">2026-10-19T10:10:36Z</dcterms:created>
  <dcterms:modified xsi:type="dcterms:W3CDTF">2026-10-19T10:10:36Z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/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subtitle">
    <vt:lpwstr>One authorization, many agencies — with signed, self-verifying evidence per agency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