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Zero-Trust Overview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Xfcae5cfa31b3751ad89ad1e99fce2b0517a0263"/>
    <w:p>
      <w:pPr>
        <w:pStyle w:val="Heading1"/>
      </w:pPr>
      <w:r>
        <w:t xml:space="preserve">Executive Brief — Zero-Trust Identity Anchoring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zero-trust-overview-image-01"/>
          <w:p>
            <w:pPr>
              <w:pStyle w:val="Compact"/>
              <w:jc w:val="center"/>
            </w:pPr>
            <w:r>
              <w:drawing>
                <wp:inline>
                  <wp:extent cx="5334000" cy="53340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../images/executive-briefs/zero-trust-overview-image-01-mission-class-placement-for-zero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Mission-class placement for zero-trust policy (5-class lane diagram)</w:t>
            </w:r>
          </w:p>
          <w:bookmarkEnd w:id="12"/>
        </w:tc>
      </w:tr>
    </w:tbl>
    <w:p>
      <w:pPr>
        <w:pStyle w:val="BodyText"/>
      </w:pPr>
      <w:r>
        <w:t xml:space="preserve">The Federal Modernization Program applies zero trust by anchoring every claim, certificate event, and</w:t>
      </w:r>
      <w:r>
        <w:t xml:space="preserve"> </w:t>
      </w:r>
      <w:r>
        <w:t xml:space="preserve">governance decision to an identity that is verified, not assumed. Per the program decision,</w:t>
      </w:r>
      <w:r>
        <w:t xml:space="preserve"> </w:t>
      </w:r>
      <w:r>
        <w:t xml:space="preserve">anchor bindings are untrusted by default and must be backed by cryptographic</w:t>
      </w:r>
      <w:r>
        <w:t xml:space="preserve"> </w:t>
      </w:r>
      <w:r>
        <w:t xml:space="preserve">proof, independent corroboration, or explicit governance authorization.</w:t>
      </w:r>
    </w:p>
    <w:bookmarkStart w:id="13" w:name="what-this-means-for-your-existing-stack"/>
    <w:p>
      <w:pPr>
        <w:pStyle w:val="Heading2"/>
      </w:pPr>
      <w:r>
        <w:t xml:space="preserve">What this means for your existing stack</w:t>
      </w:r>
    </w:p>
    <w:p>
      <w:pPr>
        <w:pStyle w:val="FirstParagraph"/>
      </w:pPr>
      <w:r>
        <w:t xml:space="preserve">The Federal Modernization Program is an overlay, not a replacement identity platform. It is designed to sit</w:t>
      </w:r>
      <w:r>
        <w:t xml:space="preserve"> </w:t>
      </w:r>
      <w:r>
        <w:t xml:space="preserve">above systems you already run (for example Entra ID, Cisco ISE, and Palo Alto),</w:t>
      </w:r>
      <w:r>
        <w:t xml:space="preserve"> </w:t>
      </w:r>
      <w:r>
        <w:t xml:space="preserve">normalize their identity-linked signals, and enforce traceable policy outcomes</w:t>
      </w:r>
      <w:r>
        <w:t xml:space="preserve"> </w:t>
      </w:r>
      <w:r>
        <w:t xml:space="preserve">across them.</w:t>
      </w:r>
    </w:p>
    <w:bookmarkEnd w:id="13"/>
    <w:bookmarkStart w:id="14" w:name="Xa7a96c02e18c23df122e4b1958bdb306d205165"/>
    <w:p>
      <w:pPr>
        <w:pStyle w:val="Heading2"/>
      </w:pPr>
      <w:r>
        <w:t xml:space="preserve">Mission-class placement for zero-trust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Mission class</w:t>
            </w:r>
          </w:p>
        </w:tc>
        <w:tc>
          <w:tcPr/>
          <w:p>
            <w:pPr>
              <w:pStyle w:val="Compact"/>
            </w:pPr>
            <w:r>
              <w:t xml:space="preserve">How zero-trust policy lands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Establishes identity truth and binding confidence before trust decisions are made.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Continuously ingests identity-linked events and detects drift or anomalous behavior.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Encodes conditional-access, separation, and compliance rules as auditable decisions.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Enforcement</w:t>
            </w:r>
          </w:p>
        </w:tc>
        <w:tc>
          <w:tcPr/>
          <w:p>
            <w:pPr>
              <w:pStyle w:val="Compact"/>
            </w:pPr>
            <w:r>
              <w:t xml:space="preserve">Pushes approved decisions into control points (session revocation, network/device controls).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Integration</w:t>
            </w:r>
          </w:p>
        </w:tc>
        <w:tc>
          <w:tcPr/>
          <w:p>
            <w:pPr>
              <w:pStyle w:val="Compact"/>
            </w:pPr>
            <w:r>
              <w:t xml:space="preserve">Coordinates execution across incumbent tools so controls are applied consistently end-to-end.</w:t>
            </w:r>
          </w:p>
        </w:tc>
      </w:tr>
    </w:tbl>
    <w:bookmarkEnd w:id="14"/>
    <w:bookmarkStart w:id="15" w:name="leaver-killswitch-maturity-honest-status"/>
    <w:p>
      <w:pPr>
        <w:pStyle w:val="Heading2"/>
      </w:pPr>
      <w:r>
        <w:t xml:space="preserve">Leaver killswitch maturity (honest status)</w:t>
      </w:r>
    </w:p>
    <w:p>
      <w:pPr>
        <w:pStyle w:val="FirstParagraph"/>
      </w:pPr>
      <w:r>
        <w:t xml:space="preserve">The Federal Modernization Program canon sets a</w:t>
      </w:r>
      <w:r>
        <w:t xml:space="preserve"> </w:t>
      </w:r>
      <w:r>
        <w:rPr>
          <w:b/>
          <w:bCs/>
        </w:rPr>
        <w:t xml:space="preserve">target</w:t>
      </w:r>
      <w:r>
        <w:t xml:space="preserve"> </w:t>
      </w:r>
      <w:r>
        <w:t xml:space="preserve">of under</w:t>
      </w:r>
      <w:r>
        <w:t xml:space="preserve"> </w:t>
      </w:r>
      <w:r>
        <w:rPr>
          <w:b/>
          <w:bCs/>
        </w:rPr>
        <w:t xml:space="preserve">120 seconds</w:t>
      </w:r>
      <w:r>
        <w:t xml:space="preserve"> </w:t>
      </w:r>
      <w:r>
        <w:t xml:space="preserve">for leaver revocation</w:t>
      </w:r>
      <w:r>
        <w:t xml:space="preserve"> </w:t>
      </w:r>
      <w:r>
        <w:t xml:space="preserve">latency across identity and dependent access surfaces. This is a TARGET-state</w:t>
      </w:r>
      <w:r>
        <w:t xml:space="preserve"> </w:t>
      </w:r>
      <w:r>
        <w:t xml:space="preserve">objective and should not be read as shipped production performance.</w:t>
      </w:r>
    </w:p>
    <w:bookmarkEnd w:id="15"/>
    <w:bookmarkStart w:id="16" w:name="executive-takeaway"/>
    <w:p>
      <w:pPr>
        <w:pStyle w:val="Heading2"/>
      </w:pPr>
      <w:r>
        <w:t xml:space="preserve">Executive takeaway</w:t>
      </w:r>
    </w:p>
    <w:p>
      <w:pPr>
        <w:pStyle w:val="FirstParagraph"/>
      </w:pPr>
      <w:r>
        <w:t xml:space="preserve">If your agency already has identity, network, and endpoint controls in place,</w:t>
      </w:r>
      <w:r>
        <w:t xml:space="preserve"> </w:t>
      </w:r>
      <w:r>
        <w:t xml:space="preserve">The Federal Modernization Program provides the missing correlation and governance layer: identity-anchored,</w:t>
      </w:r>
      <w:r>
        <w:t xml:space="preserve"> </w:t>
      </w:r>
      <w:r>
        <w:t xml:space="preserve">cross-system, and evidence-ready zero-trust execution without forcing a rip-and-</w:t>
      </w:r>
      <w:r>
        <w:t xml:space="preserve"> </w:t>
      </w:r>
      <w:r>
        <w:t xml:space="preserve">replace of your existing stack.</w:t>
      </w:r>
    </w:p>
    <w:bookmarkEnd w:id="16"/>
    <w:bookmarkStart w:id="19" w:name="where-to-go-deeper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  <w:b/>
            <w:bCs/>
          </w:rPr>
          <w:t xml:space="preserve">Zero-Trust Governance whitepaper</w:t>
        </w:r>
      </w:hyperlink>
      <w:r>
        <w:t xml:space="preserve"> </w:t>
      </w:r>
      <w:r>
        <w:t xml:space="preserve">—</w:t>
      </w:r>
      <w:r>
        <w:t xml:space="preserve"> </w:t>
      </w:r>
      <w:r>
        <w:t xml:space="preserve">the long-form pattern, anchored to the program decision.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  <w:b/>
            <w:bCs/>
          </w:rPr>
          <w:t xml:space="preserve">Adapter Ecosystem Overview</w:t>
        </w:r>
      </w:hyperlink>
      <w:r>
        <w:t xml:space="preserve"> </w:t>
      </w:r>
      <w:r>
        <w:t xml:space="preserve">— the</w:t>
      </w:r>
      <w:r>
        <w:t xml:space="preserve"> </w:t>
      </w:r>
      <w:r>
        <w:t xml:space="preserve">identity, telemetry, policy, enforcement, and integration adapters that land</w:t>
      </w:r>
      <w:r>
        <w:t xml:space="preserve"> </w:t>
      </w:r>
      <w:r>
        <w:t xml:space="preserve">these decisions in incumbent tools.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../whitepapers/zero-trust-governance-whitepaper.md" TargetMode="External" /><Relationship Type="http://schemas.openxmlformats.org/officeDocument/2006/relationships/hyperlink" Id="rId18" Target="adapter-ecosystem-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../whitepapers/zero-trust-governance-whitepaper.md" TargetMode="External" /><Relationship Type="http://schemas.openxmlformats.org/officeDocument/2006/relationships/hyperlink" Id="rId18" Target="adapter-ecosystem-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Zero-Trust Overview</dc:title>
  <dc:creator/>
  <cp:keywords/>
  <dcterms:created xsi:type="dcterms:W3CDTF">2026-10-19T10:10:37Z</dcterms:created>
  <dcterms:modified xsi:type="dcterms:W3CDTF">2026-10-19T10:10:37Z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canon-source">
    <vt:lpwstr>src/fmp/canon/adr/adr-008-zero-trust-identity.md</vt:lpwstr>
  </property>
  <property fmtid="{D5CDD505-2E9C-101B-9397-08002B2CF9AE}" pid="4" name="derived-from">
    <vt:lpwstr>fmp canon</vt:lpwstr>
  </property>
  <property fmtid="{D5CDD505-2E9C-101B-9397-08002B2CF9AE}" pid="5" name="doc-type">
    <vt:lpwstr>executive-brief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status">
    <vt:lpwstr>Active</vt:lpwstr>
  </property>
  <property fmtid="{D5CDD505-2E9C-101B-9397-08002B2CF9AE}" pid="13" name="tiers_adopted">
    <vt:lpwstr/>
  </property>
  <property fmtid="{D5CDD505-2E9C-101B-9397-08002B2CF9AE}" pid="14" name="toc-title">
    <vt:lpwstr>Table of contents</vt:lpwstr>
  </property>
</Properties>
</file>