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1: Why Governance Fails</w:t>
      </w:r>
    </w:p>
    <w:p>
      <w:pPr>
        <w:pStyle w:val="Subtitle"/>
      </w:pPr>
      <w:r>
        <w:t xml:space="preserve">Executive Governance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7" w:name="why-governance-fails"/>
    <w:p>
      <w:pPr>
        <w:pStyle w:val="Heading1"/>
      </w:pPr>
      <w:r>
        <w:t xml:space="preserve">Why Governance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Federal IT governance fails for structural reasons, not for lack of effort.</w:t>
            </w:r>
            <w:r>
              <w:t xml:space="preserve"> </w:t>
            </w:r>
            <w:r>
              <w:t xml:space="preserve">This chapter names the failure modes — fragmented identity context,</w:t>
            </w:r>
            <w:r>
              <w:t xml:space="preserve"> </w:t>
            </w:r>
            <w:r>
              <w:t xml:space="preserve">uncorrelated telemetry, point-in-time evidence, and tool-shaped policy —</w:t>
            </w:r>
            <w:r>
              <w:t xml:space="preserve"> </w:t>
            </w:r>
            <w:r>
              <w:t xml:space="preserve">and explains why each is a</w:t>
            </w:r>
            <w:r>
              <w:t xml:space="preserve"> </w:t>
            </w:r>
            <w:r>
              <w:rPr>
                <w:i/>
                <w:iCs/>
              </w:rPr>
              <w:t xml:space="preserve">substrate</w:t>
            </w:r>
            <w:r>
              <w:t xml:space="preserve"> </w:t>
            </w:r>
            <w:r>
              <w:t xml:space="preserve">problem rather than a tool problem.</w:t>
            </w:r>
            <w:r>
              <w:t xml:space="preserve"> </w:t>
            </w:r>
            <w:r>
              <w:t xml:space="preserve">The chapters that follow build the substrate-level response.</w:t>
            </w:r>
          </w:p>
          <w:p/>
        </w:tc>
      </w:tr>
    </w:tbl>
    <w:bookmarkStart w:id="16" w:name="the-four-structural-failure-modes"/>
    <w:p>
      <w:pPr>
        <w:pStyle w:val="Heading2"/>
      </w:pPr>
      <w:r>
        <w:t xml:space="preserve">The four structural failure modes</w:t>
      </w:r>
    </w:p>
    <w:bookmarkStart w:id="12" w:name="fragmented-identity-context"/>
    <w:p>
      <w:pPr>
        <w:pStyle w:val="Heading3"/>
      </w:pPr>
      <w:r>
        <w:t xml:space="preserve">Fragmented identity context</w:t>
      </w:r>
    </w:p>
    <w:p>
      <w:pPr>
        <w:pStyle w:val="FirstParagraph"/>
      </w:pPr>
      <w:r>
        <w:t xml:space="preserve">Identity claims live in a primary directory but are</w:t>
      </w:r>
      <w:r>
        <w:t xml:space="preserve"> </w:t>
      </w:r>
      <w:r>
        <w:rPr>
          <w:i/>
          <w:iCs/>
        </w:rPr>
        <w:t xml:space="preserve">consumed</w:t>
      </w:r>
      <w:r>
        <w:t xml:space="preserve"> </w:t>
      </w:r>
      <w:r>
        <w:t xml:space="preserve">by every</w:t>
      </w:r>
      <w:r>
        <w:t xml:space="preserve"> </w:t>
      </w:r>
      <w:r>
        <w:t xml:space="preserve">other plane — addressing, network, telemetry, security, compliance — and</w:t>
      </w:r>
      <w:r>
        <w:t xml:space="preserve"> </w:t>
      </w:r>
      <w:r>
        <w:t xml:space="preserve">each consumer holds its own freshness assumption. The same identity may</w:t>
      </w:r>
      <w:r>
        <w:t xml:space="preserve"> </w:t>
      </w:r>
      <w:r>
        <w:t xml:space="preserve">be</w:t>
      </w:r>
      <w:r>
        <w:t xml:space="preserve"> </w:t>
      </w:r>
      <w:r>
        <w:t xml:space="preserve">“current”</w:t>
      </w:r>
      <w:r>
        <w:t xml:space="preserve"> </w:t>
      </w:r>
      <w:r>
        <w:t xml:space="preserve">in pillar A and</w:t>
      </w:r>
      <w:r>
        <w:t xml:space="preserve"> </w:t>
      </w:r>
      <w:r>
        <w:t xml:space="preserve">“stale”</w:t>
      </w:r>
      <w:r>
        <w:t xml:space="preserve"> </w:t>
      </w:r>
      <w:r>
        <w:t xml:space="preserve">in pillar B at the same instant.</w:t>
      </w:r>
      <w:r>
        <w:t xml:space="preserve"> </w:t>
      </w:r>
      <w:r>
        <w:t xml:space="preserve">Cross-pillar decisions degrade to lowest-common-denominator attestation</w:t>
      </w:r>
      <w:r>
        <w:t xml:space="preserve"> </w:t>
      </w:r>
      <w:r>
        <w:t xml:space="preserve">because there is no canonical resolution moment.</w:t>
      </w:r>
    </w:p>
    <w:bookmarkEnd w:id="12"/>
    <w:bookmarkStart w:id="13" w:name="uncorrelated-telemetry"/>
    <w:p>
      <w:pPr>
        <w:pStyle w:val="Heading3"/>
      </w:pPr>
      <w:r>
        <w:t xml:space="preserve">Uncorrelated telemetry</w:t>
      </w:r>
    </w:p>
    <w:p>
      <w:pPr>
        <w:pStyle w:val="FirstParagraph"/>
      </w:pPr>
      <w:r>
        <w:t xml:space="preserve">Each tool emits telemetry in its own shape. Combining the streams into a</w:t>
      </w:r>
      <w:r>
        <w:t xml:space="preserve"> </w:t>
      </w:r>
      <w:r>
        <w:t xml:space="preserve">single control narrative is a</w:t>
      </w:r>
      <w:r>
        <w:t xml:space="preserve"> </w:t>
      </w:r>
      <w:r>
        <w:rPr>
          <w:i/>
          <w:iCs/>
        </w:rPr>
        <w:t xml:space="preserve">manual</w:t>
      </w:r>
      <w:r>
        <w:t xml:space="preserve"> </w:t>
      </w:r>
      <w:r>
        <w:t xml:space="preserve">exercise repeated at every audit</w:t>
      </w:r>
      <w:r>
        <w:t xml:space="preserve"> </w:t>
      </w:r>
      <w:r>
        <w:t xml:space="preserve">cycle. The combination is not reproducible from raw telemetry plus canon</w:t>
      </w:r>
      <w:r>
        <w:t xml:space="preserve"> </w:t>
      </w:r>
      <w:r>
        <w:t xml:space="preserve">— it is reproducible only from the combination itself, which is never</w:t>
      </w:r>
      <w:r>
        <w:t xml:space="preserve"> </w:t>
      </w:r>
      <w:r>
        <w:t xml:space="preserve">shipped as a primary artifact.</w:t>
      </w:r>
    </w:p>
    <w:bookmarkEnd w:id="13"/>
    <w:bookmarkStart w:id="14" w:name="point-in-time-evidence"/>
    <w:p>
      <w:pPr>
        <w:pStyle w:val="Heading3"/>
      </w:pPr>
      <w:r>
        <w:t xml:space="preserve">Point-in-time evidence</w:t>
      </w:r>
    </w:p>
    <w:p>
      <w:pPr>
        <w:pStyle w:val="FirstParagraph"/>
      </w:pPr>
      <w:r>
        <w:t xml:space="preserve">SSPs, POA&amp;Ms, and 3PAO evidence packages capture a snapshot at the</w:t>
      </w:r>
      <w:r>
        <w:t xml:space="preserve"> </w:t>
      </w:r>
      <w:r>
        <w:t xml:space="preserve">moment of assembly. Between assemblies, drift is invisible to the</w:t>
      </w:r>
      <w:r>
        <w:t xml:space="preserve"> </w:t>
      </w:r>
      <w:r>
        <w:t xml:space="preserve">package. Re-assembly is a re-engineered exercise rather than a</w:t>
      </w:r>
      <w:r>
        <w:t xml:space="preserve"> </w:t>
      </w:r>
      <w:r>
        <w:t xml:space="preserve">deterministic regeneration.</w:t>
      </w:r>
    </w:p>
    <w:bookmarkEnd w:id="14"/>
    <w:bookmarkStart w:id="15" w:name="tool-shaped-policy"/>
    <w:p>
      <w:pPr>
        <w:pStyle w:val="Heading3"/>
      </w:pPr>
      <w:r>
        <w:t xml:space="preserve">Tool-shaped policy</w:t>
      </w:r>
    </w:p>
    <w:p>
      <w:pPr>
        <w:pStyle w:val="FirstParagraph"/>
      </w:pPr>
      <w:r>
        <w:t xml:space="preserve">Policy intent gets recorded</w:t>
      </w:r>
      <w:r>
        <w:t xml:space="preserve"> </w:t>
      </w:r>
      <w:r>
        <w:rPr>
          <w:i/>
          <w:iCs/>
        </w:rPr>
        <w:t xml:space="preserve">in</w:t>
      </w:r>
      <w:r>
        <w:t xml:space="preserve"> </w:t>
      </w:r>
      <w:r>
        <w:t xml:space="preserve">the tool that enforces it. Move the</w:t>
      </w:r>
      <w:r>
        <w:t xml:space="preserve"> </w:t>
      </w:r>
      <w:r>
        <w:t xml:space="preserve">tool, lose the policy. Replace the vendor, re-author the policy.</w:t>
      </w:r>
      <w:r>
        <w:t xml:space="preserve"> </w:t>
      </w:r>
      <w:r>
        <w:t xml:space="preserve">Migrate to a new platform, re-discover the policy from a thousand</w:t>
      </w:r>
      <w:r>
        <w:t xml:space="preserve"> </w:t>
      </w:r>
      <w:r>
        <w:t xml:space="preserve">configuration files. The intent never had a canonical home, so it</w:t>
      </w:r>
      <w:r>
        <w:t xml:space="preserve"> </w:t>
      </w:r>
      <w:r>
        <w:t xml:space="preserve">cannot survive a substrate transition.</w:t>
      </w:r>
    </w:p>
    <w:p>
      <w:pPr>
        <w:pStyle w:val="BodyText"/>
      </w:pPr>
      <w:r>
        <w:rPr>
          <w:b/>
          <w:bCs/>
        </w:rPr>
        <w:t xml:space="preserve">At a glance — the four failure modes and where the fix actually lives: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Failure mode</w:t>
            </w:r>
          </w:p>
        </w:tc>
        <w:tc>
          <w:tcPr/>
          <w:p>
            <w:pPr>
              <w:pStyle w:val="Compact"/>
            </w:pPr>
            <w:r>
              <w:t xml:space="preserve">Looks like a…</w:t>
            </w:r>
          </w:p>
        </w:tc>
        <w:tc>
          <w:tcPr/>
          <w:p>
            <w:pPr>
              <w:pStyle w:val="Compact"/>
            </w:pPr>
            <w:r>
              <w:t xml:space="preserve">Actually requires (substrate-level)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Fragmented identity context</w:t>
            </w:r>
          </w:p>
        </w:tc>
        <w:tc>
          <w:tcPr/>
          <w:p>
            <w:pPr>
              <w:pStyle w:val="Compact"/>
            </w:pPr>
            <w:r>
              <w:t xml:space="preserve">directory problem</w:t>
            </w:r>
          </w:p>
        </w:tc>
        <w:tc>
          <w:tcPr/>
          <w:p>
            <w:pPr>
              <w:pStyle w:val="Compact"/>
            </w:pPr>
            <w:r>
              <w:t xml:space="preserve">Canonical resolution rules that cross all pillars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Uncorrelated telemetry</w:t>
            </w:r>
          </w:p>
        </w:tc>
        <w:tc>
          <w:tcPr/>
          <w:p>
            <w:pPr>
              <w:pStyle w:val="Compact"/>
            </w:pPr>
            <w:r>
              <w:t xml:space="preserve">SIEM problem</w:t>
            </w:r>
          </w:p>
        </w:tc>
        <w:tc>
          <w:tcPr/>
          <w:p>
            <w:pPr>
              <w:pStyle w:val="Compact"/>
            </w:pPr>
            <w:r>
              <w:t xml:space="preserve">A canonical claim shape every adapter emits before the SIEM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evidence</w:t>
            </w:r>
          </w:p>
        </w:tc>
        <w:tc>
          <w:tcPr/>
          <w:p>
            <w:pPr>
              <w:pStyle w:val="Compact"/>
            </w:pPr>
            <w:r>
              <w:t xml:space="preserve">GRC-tool problem</w:t>
            </w:r>
          </w:p>
        </w:tc>
        <w:tc>
          <w:tcPr/>
          <w:p>
            <w:pPr>
              <w:pStyle w:val="Compact"/>
            </w:pPr>
            <w:r>
              <w:t xml:space="preserve">Deterministic regeneration from canon plus telemetry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Tool-shaped policy</w:t>
            </w:r>
          </w:p>
        </w:tc>
        <w:tc>
          <w:tcPr/>
          <w:p>
            <w:pPr>
              <w:pStyle w:val="Compact"/>
            </w:pPr>
            <w:r>
              <w:t xml:space="preserve">policy-engine problem</w:t>
            </w:r>
          </w:p>
        </w:tc>
        <w:tc>
          <w:tcPr/>
          <w:p>
            <w:pPr>
              <w:pStyle w:val="Compact"/>
            </w:pPr>
            <w:r>
              <w:t xml:space="preserve">Separating policy intent (canon), mapping (registry), and enforcement (runtime)</w:t>
            </w:r>
          </w:p>
        </w:tc>
      </w:tr>
    </w:tbl>
    <w:bookmarkEnd w:id="15"/>
    <w:bookmarkEnd w:id="16"/>
    <w:bookmarkStart w:id="17" w:name="why-more-tooling-cannot-fix-it"/>
    <w:p>
      <w:pPr>
        <w:pStyle w:val="Heading2"/>
      </w:pPr>
      <w:r>
        <w:t xml:space="preserve">Why</w:t>
      </w:r>
      <w:r>
        <w:t xml:space="preserve"> </w:t>
      </w:r>
      <w:r>
        <w:t xml:space="preserve">“more tooling”</w:t>
      </w:r>
      <w:r>
        <w:t xml:space="preserve"> </w:t>
      </w:r>
      <w:r>
        <w:t xml:space="preserve">cannot fix it</w:t>
      </w:r>
    </w:p>
    <w:p>
      <w:pPr>
        <w:pStyle w:val="FirstParagraph"/>
      </w:pPr>
      <w:r>
        <w:t xml:space="preserve">Each failure mode looks like a tooling gap. None of them is. The</w:t>
      </w:r>
      <w:r>
        <w:t xml:space="preserve"> </w:t>
      </w:r>
      <w:r>
        <w:t xml:space="preserve">identity-context problem is not solved by a better directory; it is</w:t>
      </w:r>
      <w:r>
        <w:t xml:space="preserve"> </w:t>
      </w:r>
      <w:r>
        <w:t xml:space="preserve">solved by canonical resolution rules that cross all pillars. The</w:t>
      </w:r>
      <w:r>
        <w:t xml:space="preserve"> </w:t>
      </w:r>
      <w:r>
        <w:t xml:space="preserve">telemetry-correlation problem is not solved by a better SIEM; it is</w:t>
      </w:r>
      <w:r>
        <w:t xml:space="preserve"> </w:t>
      </w:r>
      <w:r>
        <w:t xml:space="preserve">solved by a canonical claim shape that every adapter emits before it</w:t>
      </w:r>
      <w:r>
        <w:t xml:space="preserve"> </w:t>
      </w:r>
      <w:r>
        <w:t xml:space="preserve">hits a SIEM. The evidence problem is not solved by a better GRC tool;</w:t>
      </w:r>
      <w:r>
        <w:t xml:space="preserve"> </w:t>
      </w:r>
      <w:r>
        <w:t xml:space="preserve">it is solved by deterministic regeneration from canon plus telemetry.</w:t>
      </w:r>
      <w:r>
        <w:t xml:space="preserve"> </w:t>
      </w:r>
      <w:r>
        <w:t xml:space="preserve">The policy-shape problem is not solved by a better policy engine; it</w:t>
      </w:r>
      <w:r>
        <w:t xml:space="preserve"> </w:t>
      </w:r>
      <w:r>
        <w:t xml:space="preserve">is solved by separating policy intent (canon) from policy mapping</w:t>
      </w:r>
      <w:r>
        <w:t xml:space="preserve"> </w:t>
      </w:r>
      <w:r>
        <w:t xml:space="preserve">(registry) from policy enforcement (runtime).</w:t>
      </w:r>
    </w:p>
    <w:p>
      <w:pPr>
        <w:pStyle w:val="BlockText"/>
      </w:pPr>
      <w:r>
        <w:rPr>
          <w:b/>
          <w:bCs/>
        </w:rPr>
        <w:t xml:space="preserve">The common factor: every fix lives below the tooling layer.</w:t>
      </w:r>
      <w:r>
        <w:t xml:space="preserve"> </w:t>
      </w:r>
      <w:r>
        <w:t xml:space="preserve">Without a</w:t>
      </w:r>
      <w:r>
        <w:t xml:space="preserve"> </w:t>
      </w:r>
      <w:r>
        <w:t xml:space="preserve">substrate, the program rebuilds the same fixes per tool, per migration,</w:t>
      </w:r>
      <w:r>
        <w:t xml:space="preserve"> </w:t>
      </w:r>
      <w:r>
        <w:t xml:space="preserve">per audit cycle.</w:t>
      </w:r>
    </w:p>
    <w:bookmarkEnd w:id="17"/>
    <w:bookmarkStart w:id="18" w:name="what-this-chapter-does-not-claim"/>
    <w:p>
      <w:pPr>
        <w:pStyle w:val="Heading2"/>
      </w:pPr>
      <w:r>
        <w:t xml:space="preserve">What this chapter does not claim</w:t>
      </w:r>
    </w:p>
    <w:p>
      <w:pPr>
        <w:pStyle w:val="FirstParagraph"/>
      </w:pPr>
      <w:r>
        <w:t xml:space="preserve">It does not claim agencies are unsophisticated. The teams running</w:t>
      </w:r>
      <w:r>
        <w:t xml:space="preserve"> </w:t>
      </w:r>
      <w:r>
        <w:t xml:space="preserve">federal modernization programs are typically capable and well-resourced.</w:t>
      </w:r>
      <w:r>
        <w:t xml:space="preserve"> </w:t>
      </w:r>
      <w:r>
        <w:t xml:space="preserve">The failure modes here are not personnel failures — they are structural</w:t>
      </w:r>
      <w:r>
        <w:t xml:space="preserve"> </w:t>
      </w:r>
      <w:r>
        <w:t xml:space="preserve">properties of an environment that has tooling but lacks a substrate.</w:t>
      </w:r>
    </w:p>
    <w:p>
      <w:pPr>
        <w:pStyle w:val="BodyText"/>
      </w:pPr>
      <w:r>
        <w:t xml:space="preserve">It also does not claim the Federal Modernization Program is the only possible substrate. It claims</w:t>
      </w:r>
      <w:r>
        <w:t xml:space="preserve"> </w:t>
      </w:r>
      <w:r>
        <w:t xml:space="preserve">that</w:t>
      </w:r>
      <w:r>
        <w:t xml:space="preserve"> </w:t>
      </w:r>
      <w:r>
        <w:rPr>
          <w:i/>
          <w:iCs/>
        </w:rPr>
        <w:t xml:space="preserve">some</w:t>
      </w:r>
      <w:r>
        <w:t xml:space="preserve"> </w:t>
      </w:r>
      <w:r>
        <w:t xml:space="preserve">substrate is required, and that the four failure modes</w:t>
      </w:r>
      <w:r>
        <w:t xml:space="preserve"> </w:t>
      </w:r>
      <w:r>
        <w:t xml:space="preserve">above are the diagnostic list a program can use to assess whether its</w:t>
      </w:r>
      <w:r>
        <w:t xml:space="preserve"> </w:t>
      </w:r>
      <w:r>
        <w:t xml:space="preserve">current substrate is sufficient.</w:t>
      </w:r>
    </w:p>
    <w:bookmarkEnd w:id="18"/>
    <w:bookmarkStart w:id="19" w:name="where-this-leads"/>
    <w:p>
      <w:pPr>
        <w:pStyle w:val="Heading2"/>
      </w:pPr>
      <w:r>
        <w:t xml:space="preserve">Where this leads</w:t>
      </w:r>
    </w:p>
    <w:p>
      <w:pPr>
        <w:pStyle w:val="FirstParagraph"/>
      </w:pPr>
      <w:r>
        <w:t xml:space="preserve">The remaining chapters address the failure modes in turn: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2</w:t>
      </w:r>
      <w:r>
        <w:t xml:space="preserve"> </w:t>
      </w:r>
      <w:r>
        <w:t xml:space="preserve">— the compliance paradox that follows from point-in-time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3</w:t>
      </w:r>
      <w:r>
        <w:t xml:space="preserve"> </w:t>
      </w:r>
      <w:r>
        <w:t xml:space="preserve">— drift as the primary operational threat once the</w:t>
      </w:r>
      <w:r>
        <w:t xml:space="preserve"> </w:t>
      </w:r>
      <w:r>
        <w:t xml:space="preserve">failure modes accumulate.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4</w:t>
      </w:r>
      <w:r>
        <w:t xml:space="preserve"> </w:t>
      </w:r>
      <w:r>
        <w:t xml:space="preserve">— what deterministic governance looks like as a response.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5</w:t>
      </w:r>
      <w:r>
        <w:t xml:space="preserve"> </w:t>
      </w:r>
      <w:r>
        <w:t xml:space="preserve">— the adapter model that ties tools into a substrate.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6</w:t>
      </w:r>
      <w:r>
        <w:t xml:space="preserve"> </w:t>
      </w:r>
      <w:r>
        <w:t xml:space="preserve">— evidence over attestation.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7</w:t>
      </w:r>
      <w:r>
        <w:t xml:space="preserve"> </w:t>
      </w:r>
      <w:r>
        <w:t xml:space="preserve">— operational tempo at substrate-level governance.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8</w:t>
      </w:r>
      <w:r>
        <w:t xml:space="preserve"> </w:t>
      </w:r>
      <w:r>
        <w:t xml:space="preserve">— scaling the model across programs.</w:t>
      </w:r>
    </w:p>
    <w:bookmarkEnd w:id="19"/>
    <w:bookmarkStart w:id="24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2"/>
        </w:numPr>
      </w:pPr>
      <w:r>
        <w:t xml:space="preserve">Federal governance failure is structural, not procedural.</w:t>
      </w:r>
    </w:p>
    <w:p>
      <w:pPr>
        <w:pStyle w:val="Compact"/>
        <w:numPr>
          <w:ilvl w:val="0"/>
          <w:numId w:val="1002"/>
        </w:numPr>
      </w:pPr>
      <w:r>
        <w:t xml:space="preserve">Four failure modes recur: fragmented identity, uncorrelated telemetry,</w:t>
      </w:r>
      <w:r>
        <w:t xml:space="preserve"> </w:t>
      </w:r>
      <w:r>
        <w:t xml:space="preserve">point-in-time evidence, tool-shaped policy.</w:t>
      </w:r>
    </w:p>
    <w:p>
      <w:pPr>
        <w:pStyle w:val="Compact"/>
        <w:numPr>
          <w:ilvl w:val="0"/>
          <w:numId w:val="1002"/>
        </w:numPr>
      </w:pPr>
      <w:r>
        <w:t xml:space="preserve">Each failure mode lives below the tooling layer; tooling cannot fix</w:t>
      </w:r>
      <w:r>
        <w:t xml:space="preserve"> </w:t>
      </w:r>
      <w:r>
        <w:t xml:space="preserve">any of them.</w:t>
      </w:r>
    </w:p>
    <w:p>
      <w:pPr>
        <w:pStyle w:val="Compact"/>
        <w:numPr>
          <w:ilvl w:val="0"/>
          <w:numId w:val="1002"/>
        </w:numPr>
      </w:pPr>
      <w:r>
        <w:t xml:space="preserve">A substrate is required; the Federal Modernization Program is one realization of such a substrate,</w:t>
      </w:r>
      <w:r>
        <w:t xml:space="preserve"> </w:t>
      </w:r>
      <w:r>
        <w:t xml:space="preserve">and the rest of this series describes its shape.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Next: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Chapter 2 — The Compliance Paradox</w:t>
              </w:r>
            </w:hyperlink>
            <w:r>
              <w:t xml:space="preserve"> </w:t>
            </w:r>
            <w:r>
              <w:t xml:space="preserve">— why compliance-driven programs accumulate risk</w:t>
            </w:r>
            <w:r>
              <w:t xml:space="preserve"> </w:t>
            </w:r>
            <w:r>
              <w:rPr>
                <w:i/>
                <w:iCs/>
              </w:rPr>
              <w:t xml:space="preserve">between</w:t>
            </w:r>
            <w:r>
              <w:t xml:space="preserve"> </w:t>
            </w:r>
            <w:r>
              <w:t xml:space="preserve">audit cycles, and how deterministic evidence collapses the gap.</w:t>
            </w:r>
          </w:p>
          <w:p/>
        </w:tc>
      </w:tr>
    </w:tbl>
    <w:bookmarkEnd w:id="24"/>
    <w:bookmarkStart w:id="26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3"/>
        </w:numPr>
      </w:pPr>
      <w:hyperlink r:id="rId25">
        <w:r>
          <w:rPr>
            <w:rStyle w:val="Hyperlink"/>
          </w:rPr>
          <w:t xml:space="preserve">Executive Governance Series Index</w:t>
        </w:r>
      </w:hyperlink>
    </w:p>
    <w:p>
      <w:pPr>
        <w:pStyle w:val="Compact"/>
        <w:numPr>
          <w:ilvl w:val="0"/>
          <w:numId w:val="1003"/>
        </w:numPr>
      </w:pPr>
      <w:r>
        <w:t xml:space="preserve">Document Index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hyperlink" Id="rId23" Target="../ch02-compliance-paradox/index.md" TargetMode="External" /><Relationship Type="http://schemas.openxmlformats.org/officeDocument/2006/relationships/hyperlink" Id="rId25" Target="..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/ch02-compliance-paradox/index.md" TargetMode="External" /><Relationship Type="http://schemas.openxmlformats.org/officeDocument/2006/relationships/hyperlink" Id="rId25" Target="..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1: Why Governance Fails</dc:title>
  <dc:creator/>
  <cp:keywords/>
  <dcterms:created xsi:type="dcterms:W3CDTF">2026-10-19T10:10:37Z</dcterms:created>
  <dcterms:modified xsi:type="dcterms:W3CDTF">2026-10-19T10:10:37Z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src/fmp/canon/substrate-manifest.yaml</vt:lpwstr>
  </property>
  <property fmtid="{D5CDD505-2E9C-101B-9397-08002B2CF9AE}" pid="6" name="created-at">
    <vt:lpwstr>2026-04-26</vt:lpwstr>
  </property>
  <property fmtid="{D5CDD505-2E9C-101B-9397-08002B2CF9AE}" pid="7" name="doc-type">
    <vt:lpwstr>executive-governance-chapter</vt:lpwstr>
  </property>
  <property fmtid="{D5CDD505-2E9C-101B-9397-08002B2CF9AE}" pid="8" name="family">
    <vt:lpwstr>executive-governance-series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repo-path">
    <vt:lpwstr>docs/customer-documents/executive-governance-series/ch01-why-governance-fails</vt:lpwstr>
  </property>
  <property fmtid="{D5CDD505-2E9C-101B-9397-08002B2CF9AE}" pid="16" name="series-order">
    <vt:lpwstr>1</vt:lpwstr>
  </property>
  <property fmtid="{D5CDD505-2E9C-101B-9397-08002B2CF9AE}" pid="17" name="status">
    <vt:lpwstr>Active</vt:lpwstr>
  </property>
  <property fmtid="{D5CDD505-2E9C-101B-9397-08002B2CF9AE}" pid="18" name="subtitle">
    <vt:lpwstr>Executive Governance Series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2026-05-10</vt:lpwstr>
  </property>
</Properties>
</file>