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The Compliance Paradox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the-compliance-paradox"/>
    <w:p>
      <w:pPr>
        <w:pStyle w:val="Heading1"/>
      </w:pPr>
      <w:r>
        <w:t xml:space="preserve">The Compliance Paradox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Compliance-driven organizations frequently accumulate</w:t>
            </w:r>
            <w:r>
              <w:t xml:space="preserve"> </w:t>
            </w:r>
            <w:r>
              <w:rPr>
                <w:i/>
                <w:iCs/>
              </w:rPr>
              <w:t xml:space="preserve">more</w:t>
            </w:r>
            <w:r>
              <w:t xml:space="preserve"> </w:t>
            </w:r>
            <w:r>
              <w:t xml:space="preserve">operational</w:t>
            </w:r>
            <w:r>
              <w:t xml:space="preserve"> </w:t>
            </w:r>
            <w:r>
              <w:t xml:space="preserve">risk over time, not less. This chapter explains why: when compliance is</w:t>
            </w:r>
            <w:r>
              <w:t xml:space="preserve"> </w:t>
            </w:r>
            <w:r>
              <w:t xml:space="preserve">optimized as a reporting exercise, the substrate it documents drifts</w:t>
            </w:r>
            <w:r>
              <w:t xml:space="preserve"> </w:t>
            </w:r>
            <w:r>
              <w:t xml:space="preserve">faster than the reporting can keep up, and the evidence package becomes</w:t>
            </w:r>
            <w:r>
              <w:t xml:space="preserve"> </w:t>
            </w:r>
            <w:r>
              <w:t xml:space="preserve">less true with each cycle. The paradox is structural, and the response</w:t>
            </w:r>
            <w:r>
              <w:t xml:space="preserve"> </w:t>
            </w:r>
            <w:r>
              <w:t xml:space="preserve">is not</w:t>
            </w:r>
            <w:r>
              <w:t xml:space="preserve"> </w:t>
            </w:r>
            <w:r>
              <w:t xml:space="preserve">“more compliance”</w:t>
            </w:r>
            <w:r>
              <w:t xml:space="preserve"> </w:t>
            </w:r>
            <w:r>
              <w:t xml:space="preserve">— it is</w:t>
            </w:r>
            <w:r>
              <w:t xml:space="preserve"> </w:t>
            </w:r>
            <w:r>
              <w:rPr>
                <w:i/>
                <w:iCs/>
              </w:rPr>
              <w:t xml:space="preserve">deterministic, reproducible</w:t>
            </w:r>
            <w:r>
              <w:t xml:space="preserve"> </w:t>
            </w:r>
            <w:r>
              <w:t xml:space="preserve">compliance</w:t>
            </w:r>
            <w:r>
              <w:t xml:space="preserve"> </w:t>
            </w:r>
            <w:r>
              <w:t xml:space="preserve">anchored on canon.</w:t>
            </w:r>
          </w:p>
          <w:p/>
        </w:tc>
      </w:tr>
    </w:tbl>
    <w:bookmarkStart w:id="12" w:name="the-paradox-stated"/>
    <w:p>
      <w:pPr>
        <w:pStyle w:val="Heading2"/>
      </w:pPr>
      <w:r>
        <w:t xml:space="preserve">The paradox stated</w:t>
      </w:r>
    </w:p>
    <w:p>
      <w:pPr>
        <w:pStyle w:val="FirstParagraph"/>
      </w:pPr>
      <w:r>
        <w:t xml:space="preserve">Three observations, each true individually, combine to produce the</w:t>
      </w:r>
      <w:r>
        <w:t xml:space="preserve"> </w:t>
      </w:r>
      <w:r>
        <w:t xml:space="preserve">paradox: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Compliance reporting is point-in-time</w:t>
      </w:r>
      <w:r>
        <w:t xml:space="preserve"> </w:t>
      </w:r>
      <w:r>
        <w:t xml:space="preserve">— the package reflects the</w:t>
      </w:r>
      <w:r>
        <w:t xml:space="preserve"> </w:t>
      </w:r>
      <w:r>
        <w:t xml:space="preserve">substrate at the moment of assembly.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substrate drifts continuously</w:t>
      </w:r>
      <w:r>
        <w:t xml:space="preserve"> </w:t>
      </w:r>
      <w:r>
        <w:t xml:space="preserve">— configurations, identities,</w:t>
      </w:r>
      <w:r>
        <w:t xml:space="preserve"> </w:t>
      </w:r>
      <w:r>
        <w:t xml:space="preserve">telemetry shapes, and tool versions change every day.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Audit cycles are slow</w:t>
      </w:r>
      <w:r>
        <w:t xml:space="preserve"> </w:t>
      </w:r>
      <w:r>
        <w:t xml:space="preserve">— quarterly, annual, or 3-year for ATO.</w:t>
      </w:r>
    </w:p>
    <w:p>
      <w:pPr>
        <w:pStyle w:val="FirstParagraph"/>
      </w:pPr>
      <w:r>
        <w:t xml:space="preserve">The combination: between cycles,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the package describes</w:t>
      </w:r>
      <w:r>
        <w:t xml:space="preserve"> </w:t>
      </w:r>
      <w:r>
        <w:t xml:space="preserve">diverges from the</w:t>
      </w:r>
      <w:r>
        <w:t xml:space="preserve"> </w:t>
      </w:r>
      <w:r>
        <w:rPr>
          <w:i/>
          <w:iCs/>
        </w:rPr>
        <w:t xml:space="preserve">truth</w:t>
      </w:r>
      <w:r>
        <w:t xml:space="preserve"> </w:t>
      </w:r>
      <w:r>
        <w:t xml:space="preserve">the substrate exhibits. Risk accumulates in</w:t>
      </w:r>
      <w:r>
        <w:t xml:space="preserve"> </w:t>
      </w:r>
      <w:r>
        <w:t xml:space="preserve">that divergence. Each subsequent audit re-discovers the divergence as</w:t>
      </w:r>
      <w:r>
        <w:t xml:space="preserve"> </w:t>
      </w:r>
      <w:r>
        <w:t xml:space="preserve">findings, treats them as fresh issues, and produces a new point-in-time</w:t>
      </w:r>
      <w:r>
        <w:t xml:space="preserve"> </w:t>
      </w:r>
      <w:r>
        <w:t xml:space="preserve">package — which begins drifting from substrate truth the moment it is</w:t>
      </w:r>
      <w:r>
        <w:t xml:space="preserve"> </w:t>
      </w:r>
      <w:r>
        <w:t xml:space="preserve">signed.</w:t>
      </w:r>
    </w:p>
    <w:bookmarkEnd w:id="12"/>
    <w:bookmarkStart w:id="13" w:name="why-checkbox-governance-makes-it-worse"/>
    <w:p>
      <w:pPr>
        <w:pStyle w:val="Heading2"/>
      </w:pPr>
      <w:r>
        <w:t xml:space="preserve">Why</w:t>
      </w:r>
      <w:r>
        <w:t xml:space="preserve"> </w:t>
      </w:r>
      <w:r>
        <w:t xml:space="preserve">“checkbox governance”</w:t>
      </w:r>
      <w:r>
        <w:t xml:space="preserve"> </w:t>
      </w:r>
      <w:r>
        <w:t xml:space="preserve">makes it worse</w:t>
      </w:r>
    </w:p>
    <w:p>
      <w:pPr>
        <w:pStyle w:val="FirstParagraph"/>
      </w:pPr>
      <w:r>
        <w:t xml:space="preserve">The natural response to discovered findings is to add controls,</w:t>
      </w:r>
      <w:r>
        <w:t xml:space="preserve"> </w:t>
      </w:r>
      <w:r>
        <w:t xml:space="preserve">checkpoints, and reviewer approvals. Each addition is well-intended.</w:t>
      </w:r>
      <w:r>
        <w:t xml:space="preserve"> </w:t>
      </w:r>
      <w:r>
        <w:t xml:space="preserve">The collective effect is to make the compliance reporting heavier</w:t>
      </w:r>
      <w:r>
        <w:t xml:space="preserve"> </w:t>
      </w:r>
      <w:r>
        <w:rPr>
          <w:i/>
          <w:iCs/>
        </w:rPr>
        <w:t xml:space="preserve">while leaving the underlying drift untouched</w:t>
      </w:r>
      <w:r>
        <w:t xml:space="preserve">. Three failure patterns</w:t>
      </w:r>
      <w:r>
        <w:t xml:space="preserve"> </w:t>
      </w:r>
      <w:r>
        <w:t xml:space="preserve">emerge: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Reviewer fatigue.</w:t>
      </w:r>
      <w:r>
        <w:t xml:space="preserve"> </w:t>
      </w:r>
      <w:r>
        <w:t xml:space="preserve">As checklists lengthen, reviewers approve by</w:t>
      </w:r>
      <w:r>
        <w:t xml:space="preserve"> </w:t>
      </w:r>
      <w:r>
        <w:t xml:space="preserve">pattern rather than evaluation. Approvals stop adding signal.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Documentation as the artifact.</w:t>
      </w:r>
      <w:r>
        <w:t xml:space="preserve"> </w:t>
      </w:r>
      <w:r>
        <w:t xml:space="preserve">Teams produce documents that</w:t>
      </w:r>
      <w:r>
        <w:t xml:space="preserve"> </w:t>
      </w:r>
      <w:r>
        <w:t xml:space="preserve">describe what</w:t>
      </w:r>
      <w:r>
        <w:t xml:space="preserve"> </w:t>
      </w:r>
      <w:r>
        <w:rPr>
          <w:i/>
          <w:iCs/>
        </w:rPr>
        <w:t xml:space="preserve">should</w:t>
      </w:r>
      <w:r>
        <w:t xml:space="preserve"> </w:t>
      </w:r>
      <w:r>
        <w:t xml:space="preserve">be true, decoupled from any verification that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true.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Findings backlog as a feature.</w:t>
      </w:r>
      <w:r>
        <w:t xml:space="preserve"> </w:t>
      </w:r>
      <w:r>
        <w:t xml:space="preserve">Long-running POA&amp;M items become</w:t>
      </w:r>
      <w:r>
        <w:t xml:space="preserve"> </w:t>
      </w:r>
      <w:r>
        <w:t xml:space="preserve">load-bearing — operationally tolerated, never closed, and treated as</w:t>
      </w:r>
      <w:r>
        <w:t xml:space="preserve"> </w:t>
      </w:r>
      <w:r>
        <w:t xml:space="preserve">cost-of-business.</w:t>
      </w:r>
    </w:p>
    <w:p>
      <w:pPr>
        <w:pStyle w:val="BlockText"/>
      </w:pPr>
      <w:r>
        <w:rPr>
          <w:b/>
          <w:bCs/>
        </w:rPr>
        <w:t xml:space="preserve">Every additional checkbox increases reporting overhead and decreases the</w:t>
      </w:r>
      <w:r>
        <w:rPr>
          <w:b/>
          <w:bCs/>
        </w:rPr>
        <w:t xml:space="preserve"> </w:t>
      </w:r>
      <w:r>
        <w:rPr>
          <w:b/>
          <w:bCs/>
        </w:rPr>
        <w:t xml:space="preserve">proportion of evidence that reflects substrate reality.</w:t>
      </w:r>
      <w:r>
        <w:t xml:space="preserve"> </w:t>
      </w:r>
      <w:r>
        <w:t xml:space="preserve">That is the</w:t>
      </w:r>
      <w:r>
        <w:t xml:space="preserve"> </w:t>
      </w:r>
      <w:r>
        <w:t xml:space="preserve">paradox stated in one line.</w:t>
      </w:r>
    </w:p>
    <w:bookmarkEnd w:id="13"/>
    <w:bookmarkStart w:id="14" w:name="the-deterministic-response"/>
    <w:p>
      <w:pPr>
        <w:pStyle w:val="Heading2"/>
      </w:pPr>
      <w:r>
        <w:t xml:space="preserve">The deterministic response</w:t>
      </w:r>
    </w:p>
    <w:p>
      <w:pPr>
        <w:pStyle w:val="FirstParagraph"/>
      </w:pPr>
      <w:r>
        <w:t xml:space="preserve">The substrate-level fix is not</w:t>
      </w:r>
      <w:r>
        <w:t xml:space="preserve"> </w:t>
      </w:r>
      <w:r>
        <w:t xml:space="preserve">“tighten the reporting.”</w:t>
      </w:r>
      <w:r>
        <w:t xml:space="preserve"> </w:t>
      </w:r>
      <w:r>
        <w:t xml:space="preserve">It is to make</w:t>
      </w:r>
      <w:r>
        <w:t xml:space="preserve"> </w:t>
      </w:r>
      <w:r>
        <w:t xml:space="preserve">evidence</w:t>
      </w:r>
      <w:r>
        <w:t xml:space="preserve"> </w:t>
      </w:r>
      <w:r>
        <w:rPr>
          <w:i/>
          <w:iCs/>
        </w:rPr>
        <w:t xml:space="preserve">deterministic</w:t>
      </w:r>
      <w:r>
        <w:t xml:space="preserve">: the same canon plus the same inputs always</w:t>
      </w:r>
      <w:r>
        <w:t xml:space="preserve"> </w:t>
      </w:r>
      <w:r>
        <w:t xml:space="preserve">produces the same evidence bundle, and the bundle is regeneratable on</w:t>
      </w:r>
      <w:r>
        <w:t xml:space="preserve"> </w:t>
      </w:r>
      <w:r>
        <w:t xml:space="preserve">demand without operator coordination.</w:t>
      </w:r>
    </w:p>
    <w:p>
      <w:pPr>
        <w:pStyle w:val="BodyText"/>
      </w:pPr>
      <w:r>
        <w:t xml:space="preserve">Four properties define deterministic compliance, drawn from</w:t>
      </w:r>
      <w:r>
        <w:t xml:space="preserve"> </w:t>
      </w:r>
      <w:r>
        <w:t xml:space="preserve">the program decision: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 silent drops</w:t>
      </w:r>
      <w:r>
        <w:t xml:space="preserve"> </w:t>
      </w:r>
      <w:r>
        <w:t xml:space="preserve">— every input is accepted, rejected with reason,</w:t>
      </w:r>
      <w:r>
        <w:t xml:space="preserve"> </w:t>
      </w:r>
      <w:r>
        <w:t xml:space="preserve">or queued.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Append-only writes</w:t>
      </w:r>
      <w:r>
        <w:t xml:space="preserve"> </w:t>
      </w:r>
      <w:r>
        <w:t xml:space="preserve">— evidence storage is immutable; updates are</w:t>
      </w:r>
      <w:r>
        <w:t xml:space="preserve"> </w:t>
      </w:r>
      <w:r>
        <w:t xml:space="preserve">superseding records, not in-place edits.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Ordered records</w:t>
      </w:r>
      <w:r>
        <w:t xml:space="preserve"> </w:t>
      </w:r>
      <w:r>
        <w:t xml:space="preserve">— re-runs produce identical ordering.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Idempotent ingestion</w:t>
      </w:r>
      <w:r>
        <w:t xml:space="preserve"> </w:t>
      </w:r>
      <w:r>
        <w:t xml:space="preserve">— re-ingesting the same source twice yields</w:t>
      </w:r>
      <w:r>
        <w:t xml:space="preserve"> </w:t>
      </w:r>
      <w:r>
        <w:t xml:space="preserve">the same canonical claim.</w:t>
      </w:r>
    </w:p>
    <w:p>
      <w:pPr>
        <w:pStyle w:val="FirstParagraph"/>
      </w:pPr>
      <w:r>
        <w:t xml:space="preserve">These four together collapse the audit-cycle problem: if a 3PAO can</w:t>
      </w:r>
      <w:r>
        <w:t xml:space="preserve"> </w:t>
      </w:r>
      <w:r>
        <w:t xml:space="preserve">re-run the assembly months after the original audit and get a</w:t>
      </w:r>
      <w:r>
        <w:t xml:space="preserve"> </w:t>
      </w:r>
      <w:r>
        <w:t xml:space="preserve">byte-identical bundle, the gap between cycles is no longer load-bearing.</w:t>
      </w:r>
    </w:p>
    <w:p>
      <w:pPr>
        <w:pStyle w:val="BodyText"/>
      </w:pPr>
      <w:r>
        <w:rPr>
          <w:b/>
          <w:bCs/>
        </w:rPr>
        <w:t xml:space="preserve">At a glance — two responses to the same findings: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Checkbox governance</w:t>
            </w:r>
          </w:p>
        </w:tc>
        <w:tc>
          <w:tcPr/>
          <w:p>
            <w:pPr>
              <w:pStyle w:val="Compact"/>
            </w:pPr>
            <w:r>
              <w:t xml:space="preserve">Deterministic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to findings</w:t>
            </w:r>
          </w:p>
        </w:tc>
        <w:tc>
          <w:tcPr/>
          <w:p>
            <w:pPr>
              <w:pStyle w:val="Compact"/>
            </w:pPr>
            <w:r>
              <w:t xml:space="preserve">Add controls, checkpoints, reviewers</w:t>
            </w:r>
          </w:p>
        </w:tc>
        <w:tc>
          <w:tcPr/>
          <w:p>
            <w:pPr>
              <w:pStyle w:val="Compact"/>
            </w:pPr>
            <w:r>
              <w:t xml:space="preserve">Make evidence regeneratable from canon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reporting</w:t>
            </w:r>
          </w:p>
        </w:tc>
        <w:tc>
          <w:tcPr/>
          <w:p>
            <w:pPr>
              <w:pStyle w:val="Compact"/>
            </w:pPr>
            <w:r>
              <w:t xml:space="preserve">Heavier each cycle</w:t>
            </w:r>
          </w:p>
        </w:tc>
        <w:tc>
          <w:tcPr/>
          <w:p>
            <w:pPr>
              <w:pStyle w:val="Compact"/>
            </w:pPr>
            <w:r>
              <w:t xml:space="preserve">Constant; assembled on demand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drift</w:t>
            </w:r>
          </w:p>
        </w:tc>
        <w:tc>
          <w:tcPr/>
          <w:p>
            <w:pPr>
              <w:pStyle w:val="Compact"/>
            </w:pPr>
            <w:r>
              <w:t xml:space="preserve">Untouched</w:t>
            </w:r>
          </w:p>
        </w:tc>
        <w:tc>
          <w:tcPr/>
          <w:p>
            <w:pPr>
              <w:pStyle w:val="Compact"/>
            </w:pPr>
            <w:r>
              <w:t xml:space="preserve">Surfaced continuously as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Verification</w:t>
            </w:r>
          </w:p>
        </w:tc>
        <w:tc>
          <w:tcPr/>
          <w:p>
            <w:pPr>
              <w:pStyle w:val="Compact"/>
            </w:pPr>
            <w:r>
              <w:t xml:space="preserve">Re-read the document</w:t>
            </w:r>
          </w:p>
        </w:tc>
        <w:tc>
          <w:tcPr/>
          <w:p>
            <w:pPr>
              <w:pStyle w:val="Compact"/>
            </w:pPr>
            <w:r>
              <w:t xml:space="preserve">Re-run the assembly, compare hashes</w:t>
            </w:r>
          </w:p>
        </w:tc>
      </w:tr>
    </w:tbl>
    <w:bookmarkEnd w:id="14"/>
    <w:bookmarkStart w:id="15" w:name="what-changes-for-an-authorizing-official"/>
    <w:p>
      <w:pPr>
        <w:pStyle w:val="Heading2"/>
      </w:pPr>
      <w:r>
        <w:t xml:space="preserve">What changes for an authorizing official</w:t>
      </w:r>
    </w:p>
    <w:p>
      <w:pPr>
        <w:pStyle w:val="FirstParagraph"/>
      </w:pPr>
      <w:r>
        <w:t xml:space="preserve">A deterministic compliance package presents the AO with four properties</w:t>
      </w:r>
      <w:r>
        <w:t xml:space="preserve"> </w:t>
      </w:r>
      <w:r>
        <w:t xml:space="preserve">that an attestation package cannot: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Independent re-execution</w:t>
      </w:r>
      <w:r>
        <w:t xml:space="preserve"> </w:t>
      </w:r>
      <w:r>
        <w:t xml:space="preserve">— the AO can rerun substrate walk and</w:t>
      </w:r>
      <w:r>
        <w:t xml:space="preserve"> </w:t>
      </w:r>
      <w:r>
        <w:t xml:space="preserve">the OSCAL pipeline without coordinating with the operator.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Hash-verifiable evidence</w:t>
      </w:r>
      <w:r>
        <w:t xml:space="preserve"> </w:t>
      </w:r>
      <w:r>
        <w:t xml:space="preserve">— bundles carry per-claim hashes; the</w:t>
      </w:r>
      <w:r>
        <w:t xml:space="preserve"> </w:t>
      </w:r>
      <w:r>
        <w:t xml:space="preserve">bundle hash is computed over those, giving tamper-evident lineage.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Drift findings between audits</w:t>
      </w:r>
      <w:r>
        <w:t xml:space="preserve"> </w:t>
      </w:r>
      <w:r>
        <w:t xml:space="preserve">— schema and provenance drift are</w:t>
      </w:r>
      <w:r>
        <w:t xml:space="preserve"> </w:t>
      </w:r>
      <w:r>
        <w:t xml:space="preserve">emitted continuously in CI, not discovered at audit time.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Canon citation per control</w:t>
      </w:r>
      <w:r>
        <w:t xml:space="preserve"> </w:t>
      </w:r>
      <w:r>
        <w:t xml:space="preserve">— every policy intent points to a</w:t>
      </w:r>
      <w:r>
        <w:t xml:space="preserve"> </w:t>
      </w:r>
      <w:r>
        <w:t xml:space="preserve">numbered canon document, not to a paragraph of narrative.</w:t>
      </w:r>
    </w:p>
    <w:p>
      <w:pPr>
        <w:pStyle w:val="FirstParagraph"/>
      </w:pPr>
      <w:r>
        <w:t xml:space="preserve">The AO’s evaluation moves from</w:t>
      </w:r>
      <w:r>
        <w:t xml:space="preserve"> </w:t>
      </w:r>
      <w:r>
        <w:t xml:space="preserve">“is the document accurate today?”</w:t>
      </w:r>
      <w:r>
        <w:t xml:space="preserve"> </w:t>
      </w:r>
      <w:r>
        <w:t xml:space="preserve">to</w:t>
      </w:r>
      <w:r>
        <w:t xml:space="preserve"> </w:t>
      </w:r>
      <w:r>
        <w:t xml:space="preserve">“does the substrate continuously prove that it is accurate?”</w:t>
      </w:r>
    </w:p>
    <w:bookmarkEnd w:id="15"/>
    <w:bookmarkStart w:id="16" w:name="honest-limit"/>
    <w:p>
      <w:pPr>
        <w:pStyle w:val="Heading2"/>
      </w:pPr>
      <w:r>
        <w:t xml:space="preserve">Honest limit</w:t>
      </w:r>
    </w:p>
    <w:p>
      <w:pPr>
        <w:pStyle w:val="FirstParagraph"/>
      </w:pPr>
      <w:r>
        <w:t xml:space="preserve">Determinism applies to the</w:t>
      </w:r>
      <w:r>
        <w:t xml:space="preserve"> </w:t>
      </w:r>
      <w:r>
        <w:rPr>
          <w:i/>
          <w:iCs/>
        </w:rPr>
        <w:t xml:space="preserve">evidence layer</w:t>
      </w:r>
      <w:r>
        <w:t xml:space="preserve">, not to the underlying</w:t>
      </w:r>
      <w:r>
        <w:t xml:space="preserve"> </w:t>
      </w:r>
      <w:r>
        <w:t xml:space="preserve">truth. If canon is wrong, the substrate will faithfully and</w:t>
      </w:r>
      <w:r>
        <w:t xml:space="preserve"> </w:t>
      </w:r>
      <w:r>
        <w:t xml:space="preserve">reproducibly emit evidence of the wrong canon. Deterministic compliance</w:t>
      </w:r>
      <w:r>
        <w:t xml:space="preserve"> </w:t>
      </w:r>
      <w:r>
        <w:t xml:space="preserve">does not replace canonical correctness; it ensures that canonical</w:t>
      </w:r>
      <w:r>
        <w:t xml:space="preserve"> </w:t>
      </w:r>
      <w:r>
        <w:t xml:space="preserve">correctness is the only thing that matters.</w:t>
      </w:r>
    </w:p>
    <w:p>
      <w:pPr>
        <w:pStyle w:val="BodyText"/>
      </w:pPr>
      <w:r>
        <w:t xml:space="preserve">This is the right limit. It puts pressure on canon authoring rather</w:t>
      </w:r>
      <w:r>
        <w:t xml:space="preserve"> </w:t>
      </w:r>
      <w:r>
        <w:t xml:space="preserve">than on evidence assembly — a pressure the substrate is designed to</w:t>
      </w:r>
      <w:r>
        <w:t xml:space="preserve"> </w:t>
      </w:r>
      <w:r>
        <w:t xml:space="preserve">absorb through schema validation, ADR review, and the canon-change</w:t>
      </w:r>
      <w:r>
        <w:t xml:space="preserve"> </w:t>
      </w:r>
      <w:r>
        <w:t xml:space="preserve">process.</w:t>
      </w:r>
    </w:p>
    <w:bookmarkEnd w:id="16"/>
    <w:bookmarkStart w:id="21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5"/>
        </w:numPr>
      </w:pPr>
      <w:r>
        <w:t xml:space="preserve">Compliance-driven organizations accumulate risk between audit cycles.</w:t>
      </w:r>
    </w:p>
    <w:p>
      <w:pPr>
        <w:pStyle w:val="Compact"/>
        <w:numPr>
          <w:ilvl w:val="0"/>
          <w:numId w:val="1005"/>
        </w:numPr>
      </w:pPr>
      <w:r>
        <w:t xml:space="preserve">Adding checkboxes makes reporting heavier without addressing drift.</w:t>
      </w:r>
    </w:p>
    <w:p>
      <w:pPr>
        <w:pStyle w:val="Compact"/>
        <w:numPr>
          <w:ilvl w:val="0"/>
          <w:numId w:val="1005"/>
        </w:numPr>
      </w:pPr>
      <w:r>
        <w:t xml:space="preserve">Deterministic regeneration (the program decision) collapses the cycle-gap problem.</w:t>
      </w:r>
    </w:p>
    <w:p>
      <w:pPr>
        <w:pStyle w:val="Compact"/>
        <w:numPr>
          <w:ilvl w:val="0"/>
          <w:numId w:val="1005"/>
        </w:numPr>
      </w:pPr>
      <w:r>
        <w:t xml:space="preserve">The AO’s evaluation shifts from snapshot accuracy to continuous</w:t>
      </w:r>
      <w:r>
        <w:t xml:space="preserve"> </w:t>
      </w:r>
      <w:r>
        <w:t xml:space="preserve">substrate truth.</w:t>
      </w:r>
    </w:p>
    <w:p>
      <w:pPr>
        <w:pStyle w:val="Compact"/>
        <w:numPr>
          <w:ilvl w:val="0"/>
          <w:numId w:val="1005"/>
        </w:numPr>
      </w:pPr>
      <w:r>
        <w:t xml:space="preserve">Determinism does not replace canonical correctness; it makes canon</w:t>
      </w:r>
      <w:r>
        <w:t xml:space="preserve"> </w:t>
      </w:r>
      <w:r>
        <w:t xml:space="preserve">the locus of pressure.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Chapter 3 — Drift as the Primary Threat</w:t>
              </w:r>
            </w:hyperlink>
            <w:r>
              <w:t xml:space="preserve"> </w:t>
            </w:r>
            <w:r>
              <w:t xml:space="preserve">— why the silent divergence the paradox describes is itself the substrate’s first-class threat, and how the Federal Modernization Program classifies it.</w:t>
            </w:r>
          </w:p>
          <w:p/>
        </w:tc>
      </w:tr>
    </w:tbl>
    <w:bookmarkEnd w:id="21"/>
    <w:bookmarkStart w:id="25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6"/>
        </w:numPr>
      </w:pPr>
      <w:hyperlink r:id="rId22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6"/>
        </w:numPr>
      </w:pPr>
      <w:hyperlink r:id="rId23">
        <w:r>
          <w:rPr>
            <w:rStyle w:val="Hyperlink"/>
          </w:rPr>
          <w:t xml:space="preserve">Chapter 1: Why Governance Fails</w:t>
        </w:r>
      </w:hyperlink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Chapter 6: Evidence over Attestation</w:t>
        </w:r>
      </w:hyperlink>
    </w:p>
    <w:p>
      <w:pPr>
        <w:pStyle w:val="Compact"/>
        <w:numPr>
          <w:ilvl w:val="0"/>
          <w:numId w:val="1006"/>
        </w:numPr>
      </w:pPr>
      <w:r>
        <w:t xml:space="preserve">the program decision: Evidence Determinism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23" Target="../ch01-why-governance-fails/index.md" TargetMode="External" /><Relationship Type="http://schemas.openxmlformats.org/officeDocument/2006/relationships/hyperlink" Id="rId20" Target="../ch03-drift-as-primary-threat/index.md" TargetMode="External" /><Relationship Type="http://schemas.openxmlformats.org/officeDocument/2006/relationships/hyperlink" Id="rId24" Target="../ch06-evidence-over-attestation/index.md" TargetMode="External" /><Relationship Type="http://schemas.openxmlformats.org/officeDocument/2006/relationships/hyperlink" Id="rId22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ch01-why-governance-fails/index.md" TargetMode="External" /><Relationship Type="http://schemas.openxmlformats.org/officeDocument/2006/relationships/hyperlink" Id="rId20" Target="../ch03-drift-as-primary-threat/index.md" TargetMode="External" /><Relationship Type="http://schemas.openxmlformats.org/officeDocument/2006/relationships/hyperlink" Id="rId24" Target="../ch06-evidence-over-attestation/index.md" TargetMode="External" /><Relationship Type="http://schemas.openxmlformats.org/officeDocument/2006/relationships/hyperlink" Id="rId22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The Compliance Paradox</dc:title>
  <dc:creator/>
  <cp:keywords/>
  <dcterms:created xsi:type="dcterms:W3CDTF">2026-10-19T10:10:37Z</dcterms:created>
  <dcterms:modified xsi:type="dcterms:W3CDTF">2026-10-19T10:10:37Z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src/fmp/canon/adr/adr-006-evidence-determinism.md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docs/customer-documents/executive-governance-series/ch02-compliance-paradox</vt:lpwstr>
  </property>
  <property fmtid="{D5CDD505-2E9C-101B-9397-08002B2CF9AE}" pid="16" name="series-order">
    <vt:lpwstr>2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