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3: Drift as the Primary Threat</w:t>
      </w:r>
    </w:p>
    <w:p>
      <w:pPr>
        <w:pStyle w:val="Subtitle"/>
      </w:pPr>
      <w:r>
        <w:t xml:space="preserve">Executive Governance Series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25" w:name="drift-as-the-primary-threat"/>
    <w:p>
      <w:pPr>
        <w:pStyle w:val="Heading1"/>
      </w:pPr>
      <w:r>
        <w:t xml:space="preserve">Drift as the Primary Threat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In this chapter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In a substrate-anchored governance model,</w:t>
            </w:r>
            <w:r>
              <w:t xml:space="preserve"> </w:t>
            </w:r>
            <w:r>
              <w:rPr>
                <w:b/>
                <w:bCs/>
              </w:rPr>
              <w:t xml:space="preserve">drift is the single largest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threat vector</w:t>
            </w:r>
            <w:r>
              <w:t xml:space="preserve">. Not phishing, not supply chain, not insider risk —</w:t>
            </w:r>
            <w:r>
              <w:t xml:space="preserve"> </w:t>
            </w:r>
            <w:r>
              <w:t xml:space="preserve">those are concerns the substrate helps surface, but the</w:t>
            </w:r>
            <w:r>
              <w:t xml:space="preserve"> </w:t>
            </w:r>
            <w:r>
              <w:rPr>
                <w:i/>
                <w:iCs/>
              </w:rPr>
              <w:t xml:space="preserve">governance</w:t>
            </w:r>
            <w:r>
              <w:t xml:space="preserve"> </w:t>
            </w:r>
            <w:r>
              <w:t xml:space="preserve">threat is the one most agencies track least: silent divergence between</w:t>
            </w:r>
            <w:r>
              <w:t xml:space="preserve"> </w:t>
            </w:r>
            <w:r>
              <w:t xml:space="preserve">declared canon and observed runtime. This chapter explains why drift</w:t>
            </w:r>
            <w:r>
              <w:t xml:space="preserve"> </w:t>
            </w:r>
            <w:r>
              <w:t xml:space="preserve">deserves first-class status, how the Federal Modernization Program classifies it, and what it</w:t>
            </w:r>
            <w:r>
              <w:t xml:space="preserve"> </w:t>
            </w:r>
            <w:r>
              <w:t xml:space="preserve">changes operationally.</w:t>
            </w:r>
          </w:p>
          <w:p/>
        </w:tc>
      </w:tr>
    </w:tbl>
    <w:bookmarkStart w:id="12" w:name="why-drift-is-the-primary-threat"/>
    <w:p>
      <w:pPr>
        <w:pStyle w:val="Heading2"/>
      </w:pPr>
      <w:r>
        <w:t xml:space="preserve">Why drift is the primary threat</w:t>
      </w:r>
    </w:p>
    <w:p>
      <w:pPr>
        <w:pStyle w:val="FirstParagraph"/>
      </w:pPr>
      <w:r>
        <w:t xml:space="preserve">Three properties make drift the substrate-level threat: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continuous.</w:t>
      </w:r>
      <w:r>
        <w:t xml:space="preserve"> </w:t>
      </w:r>
      <w:r>
        <w:t xml:space="preserve">Drift accumulates every time a configuration</w:t>
      </w:r>
      <w:r>
        <w:t xml:space="preserve"> </w:t>
      </w:r>
      <w:r>
        <w:t xml:space="preserve">changes, an adapter version updates, a schema evolves, or an</w:t>
      </w:r>
      <w:r>
        <w:t xml:space="preserve"> </w:t>
      </w:r>
      <w:r>
        <w:t xml:space="preserve">identity is provisioned. Other threats are events; drift is a</w:t>
      </w:r>
      <w:r>
        <w:t xml:space="preserve"> </w:t>
      </w:r>
      <w:r>
        <w:t xml:space="preserve">persistent gradient.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silent.</w:t>
      </w:r>
      <w:r>
        <w:t xml:space="preserve"> </w:t>
      </w:r>
      <w:r>
        <w:t xml:space="preserve">Without explicit detection, drift has no</w:t>
      </w:r>
      <w:r>
        <w:t xml:space="preserve"> </w:t>
      </w:r>
      <w:r>
        <w:t xml:space="preserve">operational signal. The substrate continues to report the declared</w:t>
      </w:r>
      <w:r>
        <w:t xml:space="preserve"> </w:t>
      </w:r>
      <w:r>
        <w:t xml:space="preserve">state while runtime reality diverges.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the surface other threats exploit.</w:t>
      </w:r>
      <w:r>
        <w:t xml:space="preserve"> </w:t>
      </w:r>
      <w:r>
        <w:t xml:space="preserve">A phishing attack</w:t>
      </w:r>
      <w:r>
        <w:t xml:space="preserve"> </w:t>
      </w:r>
      <w:r>
        <w:t xml:space="preserve">succeeds because drift opened a permission path. A supply-chain</w:t>
      </w:r>
      <w:r>
        <w:t xml:space="preserve"> </w:t>
      </w:r>
      <w:r>
        <w:t xml:space="preserve">compromise propagates because drift hid the canonical version. An</w:t>
      </w:r>
      <w:r>
        <w:t xml:space="preserve"> </w:t>
      </w:r>
      <w:r>
        <w:t xml:space="preserve">insider acts because drift attenuated the consent envelope.</w:t>
      </w:r>
    </w:p>
    <w:p>
      <w:pPr>
        <w:pStyle w:val="BlockText"/>
      </w:pPr>
      <w:r>
        <w:rPr>
          <w:b/>
          <w:bCs/>
        </w:rPr>
        <w:t xml:space="preserve">The fix is not</w:t>
      </w:r>
      <w:r>
        <w:rPr>
          <w:b/>
          <w:bCs/>
        </w:rPr>
        <w:t xml:space="preserve"> </w:t>
      </w:r>
      <w:r>
        <w:rPr>
          <w:b/>
          <w:bCs/>
        </w:rPr>
        <w:t xml:space="preserve">“watch for the events”</w:t>
      </w:r>
      <w:r>
        <w:rPr>
          <w:b/>
          <w:bCs/>
        </w:rPr>
        <w:t xml:space="preserve"> </w:t>
      </w:r>
      <w:r>
        <w:rPr>
          <w:b/>
          <w:bCs/>
        </w:rPr>
        <w:t xml:space="preserve">— it is to make drift itself a</w:t>
      </w:r>
      <w:r>
        <w:rPr>
          <w:b/>
          <w:bCs/>
        </w:rPr>
        <w:t xml:space="preserve"> </w:t>
      </w:r>
      <w:r>
        <w:rPr>
          <w:b/>
          <w:bCs/>
        </w:rPr>
        <w:t xml:space="preserve">first-class signal so the events have nowhere to hide.</w:t>
      </w:r>
    </w:p>
    <w:bookmarkEnd w:id="12"/>
    <w:bookmarkStart w:id="13" w:name="the-five-class-taxonomy"/>
    <w:p>
      <w:pPr>
        <w:pStyle w:val="Heading2"/>
      </w:pPr>
      <w:r>
        <w:t xml:space="preserve">The five-class taxonomy</w:t>
      </w:r>
    </w:p>
    <w:p>
      <w:pPr>
        <w:pStyle w:val="FirstParagraph"/>
      </w:pPr>
      <w:r>
        <w:t xml:space="preserve">The Federal Modernization Program names the failure modes exactly. From</w:t>
      </w:r>
      <w:r>
        <w:t xml:space="preserve"> </w:t>
      </w:r>
      <w:r>
        <w:rPr>
          <w:rStyle w:val="VerbatimChar"/>
        </w:rPr>
        <w:t xml:space="preserve">16_DriftDetectionStandard.qmd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Class</w:t>
            </w:r>
          </w:p>
        </w:tc>
        <w:tc>
          <w:tcPr/>
          <w:p>
            <w:pPr>
              <w:pStyle w:val="Compact"/>
            </w:pPr>
            <w:r>
              <w:t xml:space="preserve">What it means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DRIFT-SCHEMA</w:t>
            </w:r>
          </w:p>
        </w:tc>
        <w:tc>
          <w:tcPr/>
          <w:p>
            <w:pPr>
              <w:pStyle w:val="Compact"/>
            </w:pPr>
            <w:r>
              <w:t xml:space="preserve">Claim structure no longer matches canonical schema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DRIFT-SEMANTIC</w:t>
            </w:r>
          </w:p>
        </w:tc>
        <w:tc>
          <w:tcPr/>
          <w:p>
            <w:pPr>
              <w:pStyle w:val="Compact"/>
            </w:pPr>
            <w:r>
              <w:t xml:space="preserve">Structure valid; meaning is stale or inconsistent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DRIFT-PROVENANCE</w:t>
            </w:r>
          </w:p>
        </w:tc>
        <w:tc>
          <w:tcPr/>
          <w:p>
            <w:pPr>
              <w:pStyle w:val="Compact"/>
            </w:pPr>
            <w:r>
              <w:t xml:space="preserve">Provenance envelope incomplete or chain broken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DRIFT-AUTHZ</w:t>
            </w:r>
          </w:p>
        </w:tc>
        <w:tc>
          <w:tcPr/>
          <w:p>
            <w:pPr>
              <w:pStyle w:val="Compact"/>
            </w:pPr>
            <w:r>
              <w:t xml:space="preserve">Action emitted outside authorized consent envelope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DRIFT-IDENTITY</w:t>
            </w:r>
          </w:p>
        </w:tc>
        <w:tc>
          <w:tcPr/>
          <w:p>
            <w:pPr>
              <w:pStyle w:val="Compact"/>
            </w:pPr>
            <w:r>
              <w:t xml:space="preserve">Issuer cannot be resolved to a verified identity-plane object</w:t>
            </w:r>
          </w:p>
        </w:tc>
      </w:tr>
    </w:tbl>
    <w:p>
      <w:pPr>
        <w:pStyle w:val="BodyText"/>
      </w:pPr>
      <w:r>
        <w:t xml:space="preserve">Five is not a number arrived at by abstraction. Each class corresponds</w:t>
      </w:r>
      <w:r>
        <w:t xml:space="preserve"> </w:t>
      </w:r>
      <w:r>
        <w:t xml:space="preserve">to a distinct failure mode that requires a distinct remediation</w:t>
      </w:r>
      <w:r>
        <w:t xml:space="preserve"> </w:t>
      </w:r>
      <w:r>
        <w:t xml:space="preserve">contract. Collapsing them into</w:t>
      </w:r>
      <w:r>
        <w:t xml:space="preserve"> </w:t>
      </w:r>
      <w:r>
        <w:t xml:space="preserve">“configuration drift”</w:t>
      </w:r>
      <w:r>
        <w:t xml:space="preserve"> </w:t>
      </w:r>
      <w:r>
        <w:t xml:space="preserve">loses the</w:t>
      </w:r>
      <w:r>
        <w:t xml:space="preserve"> </w:t>
      </w:r>
      <w:r>
        <w:t xml:space="preserve">ability to assign deterministic severity. See</w:t>
      </w:r>
      <w:r>
        <w:t xml:space="preserve"> </w:t>
      </w:r>
      <w:r>
        <w:t xml:space="preserve">Architecture Series — Drift Engine</w:t>
      </w:r>
      <w:r>
        <w:t xml:space="preserve"> </w:t>
      </w:r>
      <w:r>
        <w:t xml:space="preserve">for the architectural depth.</w:t>
      </w:r>
    </w:p>
    <w:bookmarkEnd w:id="13"/>
    <w:bookmarkStart w:id="14" w:name="from-taxonomy-to-operational-discipline"/>
    <w:p>
      <w:pPr>
        <w:pStyle w:val="Heading2"/>
      </w:pPr>
      <w:r>
        <w:t xml:space="preserve">From taxonomy to operational discipline</w:t>
      </w:r>
    </w:p>
    <w:p>
      <w:pPr>
        <w:pStyle w:val="FirstParagraph"/>
      </w:pPr>
      <w:r>
        <w:t xml:space="preserve">Naming the classes is not enough. The substrate’s operational</w:t>
      </w:r>
      <w:r>
        <w:t xml:space="preserve"> </w:t>
      </w:r>
      <w:r>
        <w:t xml:space="preserve">discipline is: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Detect deterministically.</w:t>
      </w:r>
      <w:r>
        <w:t xml:space="preserve"> </w:t>
      </w:r>
      <w:r>
        <w:rPr>
          <w:rStyle w:val="VerbatimChar"/>
        </w:rPr>
        <w:t xml:space="preserve">fmp substrate walk</w:t>
      </w:r>
      <w:r>
        <w:t xml:space="preserve"> </w:t>
      </w:r>
      <w:r>
        <w:t xml:space="preserve">runs in CI on</w:t>
      </w:r>
      <w:r>
        <w:t xml:space="preserve"> </w:t>
      </w:r>
      <w:r>
        <w:t xml:space="preserve">every PR and emits SCHEMA + PROVENANCE findings. Runtime adapters</w:t>
      </w:r>
      <w:r>
        <w:t xml:space="preserve"> </w:t>
      </w:r>
      <w:r>
        <w:t xml:space="preserve">emit SEMANTIC + AUTHZ + IDENTITY findings as they execute.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Classify deterministically.</w:t>
      </w:r>
      <w:r>
        <w:t xml:space="preserve"> </w:t>
      </w:r>
      <w:r>
        <w:t xml:space="preserve">Severity is a pure function of</w:t>
      </w:r>
      <w:r>
        <w:t xml:space="preserve"> </w:t>
      </w:r>
      <w:r>
        <w:t xml:space="preserve">class plus liveness — operators do not triage.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Remediate via contract.</w:t>
      </w:r>
      <w:r>
        <w:t xml:space="preserve"> </w:t>
      </w:r>
      <w:r>
        <w:t xml:space="preserve">Every drift event emits a remediation</w:t>
      </w:r>
      <w:r>
        <w:t xml:space="preserve"> </w:t>
      </w:r>
      <w:r>
        <w:t xml:space="preserve">contract (timestamps, action, evidence hash, escalation path) that</w:t>
      </w:r>
      <w:r>
        <w:t xml:space="preserve"> </w:t>
      </w:r>
      <w:r>
        <w:t xml:space="preserve">flows into the canonical evidence chain.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Treat findings as evidence.</w:t>
      </w:r>
      <w:r>
        <w:t xml:space="preserve"> </w:t>
      </w:r>
      <w:r>
        <w:t xml:space="preserve">Drift findings are not a</w:t>
      </w:r>
      <w:r>
        <w:t xml:space="preserve"> </w:t>
      </w:r>
      <w:r>
        <w:t xml:space="preserve">parallel log; they are first-class artifacts in the SSP / POA&amp;M /</w:t>
      </w:r>
      <w:r>
        <w:t xml:space="preserve"> </w:t>
      </w:r>
      <w:r>
        <w:t xml:space="preserve">KSI emissions.</w:t>
      </w:r>
    </w:p>
    <w:p>
      <w:pPr>
        <w:pStyle w:val="FirstParagraph"/>
      </w:pPr>
      <w:r>
        <w:t xml:space="preserve">This shifts drift from</w:t>
      </w:r>
      <w:r>
        <w:t xml:space="preserve"> </w:t>
      </w:r>
      <w:r>
        <w:t xml:space="preserve">“operations problem”</w:t>
      </w:r>
      <w:r>
        <w:t xml:space="preserve"> </w:t>
      </w:r>
      <w:r>
        <w:t xml:space="preserve">to</w:t>
      </w:r>
      <w:r>
        <w:t xml:space="preserve"> </w:t>
      </w:r>
      <w:r>
        <w:t xml:space="preserve">“governance signal.”</w:t>
      </w:r>
      <w:r>
        <w:t xml:space="preserve"> </w:t>
      </w:r>
      <w:r>
        <w:t xml:space="preserve">The AO sees drift as part of the package; the SOC sees it as part of</w:t>
      </w:r>
      <w:r>
        <w:t xml:space="preserve"> </w:t>
      </w:r>
      <w:r>
        <w:t xml:space="preserve">the operational picture; the canon stewards see it as the input to</w:t>
      </w:r>
      <w:r>
        <w:t xml:space="preserve"> </w:t>
      </w:r>
      <w:r>
        <w:t xml:space="preserve">the next ADR.</w:t>
      </w:r>
    </w:p>
    <w:bookmarkEnd w:id="14"/>
    <w:bookmarkStart w:id="15" w:name="what-changes-for-the-soc"/>
    <w:p>
      <w:pPr>
        <w:pStyle w:val="Heading2"/>
      </w:pPr>
      <w:r>
        <w:t xml:space="preserve">What changes for the SOC</w:t>
      </w:r>
    </w:p>
    <w:p>
      <w:pPr>
        <w:pStyle w:val="FirstParagraph"/>
      </w:pPr>
      <w:r>
        <w:t xml:space="preserve">In the attestation model, the SOC discovers drift through outage,</w:t>
      </w:r>
      <w:r>
        <w:t xml:space="preserve"> </w:t>
      </w:r>
      <w:r>
        <w:t xml:space="preserve">incident, or audit. In the substrate model, the SOC consumes drift as</w:t>
      </w:r>
      <w:r>
        <w:t xml:space="preserve"> </w:t>
      </w:r>
      <w:r>
        <w:t xml:space="preserve">a structured stream: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Severity</w:t>
            </w:r>
          </w:p>
        </w:tc>
        <w:tc>
          <w:tcPr/>
          <w:p>
            <w:pPr>
              <w:pStyle w:val="Compact"/>
            </w:pPr>
            <w:r>
              <w:t xml:space="preserve">Typical class</w:t>
            </w:r>
          </w:p>
        </w:tc>
        <w:tc>
          <w:tcPr/>
          <w:p>
            <w:pPr>
              <w:pStyle w:val="Compact"/>
            </w:pPr>
            <w:r>
              <w:t xml:space="preserve">Response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P1</w:t>
            </w:r>
          </w:p>
        </w:tc>
        <w:tc>
          <w:tcPr/>
          <w:p>
            <w:pPr>
              <w:pStyle w:val="Compact"/>
            </w:pPr>
            <w:r>
              <w:t xml:space="preserve">Authorization or identity drift</w:t>
            </w:r>
          </w:p>
        </w:tc>
        <w:tc>
          <w:tcPr/>
          <w:p>
            <w:pPr>
              <w:pStyle w:val="Compact"/>
            </w:pPr>
            <w:r>
              <w:t xml:space="preserve">Halt and alert immediately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P2</w:t>
            </w:r>
          </w:p>
        </w:tc>
        <w:tc>
          <w:tcPr/>
          <w:p>
            <w:pPr>
              <w:pStyle w:val="Compact"/>
            </w:pPr>
            <w:r>
              <w:t xml:space="preserve">High-severity drift</w:t>
            </w:r>
          </w:p>
        </w:tc>
        <w:tc>
          <w:tcPr/>
          <w:p>
            <w:pPr>
              <w:pStyle w:val="Compact"/>
            </w:pPr>
            <w:r>
              <w:t xml:space="preserve">Auto-remediate when deterministic; otherwise escalate within an hour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P3 / P4</w:t>
            </w:r>
          </w:p>
        </w:tc>
        <w:tc>
          <w:tcPr/>
          <w:p>
            <w:pPr>
              <w:pStyle w:val="Compact"/>
            </w:pPr>
            <w:r>
              <w:t xml:space="preserve">Medium / low drift</w:t>
            </w:r>
          </w:p>
        </w:tc>
        <w:tc>
          <w:tcPr/>
          <w:p>
            <w:pPr>
              <w:pStyle w:val="Compact"/>
            </w:pPr>
            <w:r>
              <w:t xml:space="preserve">Queue for auto-remediation within 24 / 72 hours</w:t>
            </w:r>
          </w:p>
        </w:tc>
      </w:tr>
    </w:tbl>
    <w:p>
      <w:pPr>
        <w:pStyle w:val="BodyText"/>
      </w:pPr>
      <w:r>
        <w:t xml:space="preserve">The SOC’s work shifts from</w:t>
      </w:r>
      <w:r>
        <w:t xml:space="preserve"> </w:t>
      </w:r>
      <w:r>
        <w:t xml:space="preserve">“find drift”</w:t>
      </w:r>
      <w:r>
        <w:t xml:space="preserve"> </w:t>
      </w:r>
      <w:r>
        <w:t xml:space="preserve">to</w:t>
      </w:r>
      <w:r>
        <w:t xml:space="preserve"> </w:t>
      </w:r>
      <w:r>
        <w:t xml:space="preserve">“tune the classifier and</w:t>
      </w:r>
      <w:r>
        <w:t xml:space="preserve"> </w:t>
      </w:r>
      <w:r>
        <w:t xml:space="preserve">respond to escalations.”</w:t>
      </w:r>
      <w:r>
        <w:t xml:space="preserve"> </w:t>
      </w:r>
      <w:r>
        <w:t xml:space="preserve">Most drift is auto-remediated by the</w:t>
      </w:r>
      <w:r>
        <w:t xml:space="preserve"> </w:t>
      </w:r>
      <w:r>
        <w:t xml:space="preserve">adapter that detected it; only the human-judgment subset reaches</w:t>
      </w:r>
      <w:r>
        <w:t xml:space="preserve"> </w:t>
      </w:r>
      <w:r>
        <w:t xml:space="preserve">the SOC.</w:t>
      </w:r>
    </w:p>
    <w:bookmarkEnd w:id="15"/>
    <w:bookmarkStart w:id="16" w:name="what-changes-for-the-ao"/>
    <w:p>
      <w:pPr>
        <w:pStyle w:val="Heading2"/>
      </w:pPr>
      <w:r>
        <w:t xml:space="preserve">What changes for the AO</w:t>
      </w:r>
    </w:p>
    <w:p>
      <w:pPr>
        <w:pStyle w:val="FirstParagraph"/>
      </w:pPr>
      <w:r>
        <w:t xml:space="preserve">For the authorizing official, the substrate-level treatment of drift</w:t>
      </w:r>
      <w:r>
        <w:t xml:space="preserve"> </w:t>
      </w:r>
      <w:r>
        <w:t xml:space="preserve">delivers: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Visibility between audits</w:t>
      </w:r>
      <w:r>
        <w:t xml:space="preserve"> </w:t>
      </w:r>
      <w:r>
        <w:t xml:space="preserve">— drift findings are continuous, not</w:t>
      </w:r>
      <w:r>
        <w:t xml:space="preserve"> </w:t>
      </w:r>
      <w:r>
        <w:t xml:space="preserve">audit-cycle.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Deterministic severity</w:t>
      </w:r>
      <w:r>
        <w:t xml:space="preserve"> </w:t>
      </w:r>
      <w:r>
        <w:t xml:space="preserve">— the AO can rely on P1/P2/P3/P4</w:t>
      </w:r>
      <w:r>
        <w:t xml:space="preserve"> </w:t>
      </w:r>
      <w:r>
        <w:t xml:space="preserve">classification without re-evaluating.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Per-finding evidence</w:t>
      </w:r>
      <w:r>
        <w:t xml:space="preserve"> </w:t>
      </w:r>
      <w:r>
        <w:t xml:space="preserve">— every finding carries a remediation</w:t>
      </w:r>
      <w:r>
        <w:t xml:space="preserve"> </w:t>
      </w:r>
      <w:r>
        <w:t xml:space="preserve">contract with hash-verifiable provenance.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Trend analysis</w:t>
      </w:r>
      <w:r>
        <w:t xml:space="preserve"> </w:t>
      </w:r>
      <w:r>
        <w:t xml:space="preserve">— drift findings over time are a measurable</w:t>
      </w:r>
      <w:r>
        <w:t xml:space="preserve"> </w:t>
      </w:r>
      <w:r>
        <w:t xml:space="preserve">property of program health.</w:t>
      </w:r>
    </w:p>
    <w:p>
      <w:pPr>
        <w:pStyle w:val="FirstParagraph"/>
      </w:pPr>
      <w:r>
        <w:t xml:space="preserve">This changes the AO’s posture from periodic re-authorization to</w:t>
      </w:r>
      <w:r>
        <w:t xml:space="preserve"> </w:t>
      </w:r>
      <w:r>
        <w:t xml:space="preserve">continuous monitoring of a deterministic signal.</w:t>
      </w:r>
    </w:p>
    <w:bookmarkEnd w:id="16"/>
    <w:bookmarkStart w:id="17" w:name="honest-limits"/>
    <w:p>
      <w:pPr>
        <w:pStyle w:val="Heading2"/>
      </w:pPr>
      <w:r>
        <w:t xml:space="preserve">Honest limits</w:t>
      </w:r>
    </w:p>
    <w:p>
      <w:pPr>
        <w:pStyle w:val="Compact"/>
        <w:numPr>
          <w:ilvl w:val="0"/>
          <w:numId w:val="1004"/>
        </w:numPr>
      </w:pPr>
      <w:r>
        <w:t xml:space="preserve">Today, schema and provenance drift ship in CI; semantic,</w:t>
      </w:r>
      <w:r>
        <w:t xml:space="preserve"> </w:t>
      </w:r>
      <w:r>
        <w:t xml:space="preserve">authorization, and identity drift detection at runtime is partial</w:t>
      </w:r>
      <w:r>
        <w:t xml:space="preserve"> </w:t>
      </w:r>
      <w:r>
        <w:t xml:space="preserve">to design-only across the adapter fleet. Coverage is growing, not</w:t>
      </w:r>
      <w:r>
        <w:t xml:space="preserve"> </w:t>
      </w:r>
      <w:r>
        <w:t xml:space="preserve">complete.</w:t>
      </w:r>
    </w:p>
    <w:p>
      <w:pPr>
        <w:pStyle w:val="Compact"/>
        <w:numPr>
          <w:ilvl w:val="0"/>
          <w:numId w:val="1004"/>
        </w:numPr>
      </w:pPr>
      <w:r>
        <w:t xml:space="preserve">Auto-remediation is bounded to</w:t>
      </w:r>
      <w:r>
        <w:t xml:space="preserve"> </w:t>
      </w:r>
      <w:r>
        <w:rPr>
          <w:i/>
          <w:iCs/>
        </w:rPr>
        <w:t xml:space="preserve">deterministic</w:t>
      </w:r>
      <w:r>
        <w:t xml:space="preserve"> </w:t>
      </w:r>
      <w:r>
        <w:t xml:space="preserve">fixes. Drift that</w:t>
      </w:r>
      <w:r>
        <w:t xml:space="preserve"> </w:t>
      </w:r>
      <w:r>
        <w:t xml:space="preserve">requires human judgment escalates rather than auto-remediates.</w:t>
      </w:r>
    </w:p>
    <w:p>
      <w:pPr>
        <w:pStyle w:val="Compact"/>
        <w:numPr>
          <w:ilvl w:val="0"/>
          <w:numId w:val="1004"/>
        </w:numPr>
      </w:pPr>
      <w:r>
        <w:t xml:space="preserve">The substrate detects drift against canon. If canon is silently</w:t>
      </w:r>
      <w:r>
        <w:t xml:space="preserve"> </w:t>
      </w:r>
      <w:r>
        <w:t xml:space="preserve">wrong, the substrate will faithfully report no drift.</w:t>
      </w:r>
    </w:p>
    <w:bookmarkEnd w:id="17"/>
    <w:bookmarkStart w:id="22" w:name="key-takeaways"/>
    <w:p>
      <w:pPr>
        <w:pStyle w:val="Heading2"/>
      </w:pPr>
      <w:r>
        <w:t xml:space="preserve">Key takeaways</w:t>
      </w:r>
    </w:p>
    <w:p>
      <w:pPr>
        <w:pStyle w:val="Compact"/>
        <w:numPr>
          <w:ilvl w:val="0"/>
          <w:numId w:val="1005"/>
        </w:numPr>
      </w:pPr>
      <w:r>
        <w:t xml:space="preserve">Drift is the primary governance threat, not a secondary concern.</w:t>
      </w:r>
    </w:p>
    <w:p>
      <w:pPr>
        <w:pStyle w:val="Compact"/>
        <w:numPr>
          <w:ilvl w:val="0"/>
          <w:numId w:val="1005"/>
        </w:numPr>
      </w:pPr>
      <w:r>
        <w:t xml:space="preserve">The five-class taxonomy is canonical and deterministic.</w:t>
      </w:r>
    </w:p>
    <w:p>
      <w:pPr>
        <w:pStyle w:val="Compact"/>
        <w:numPr>
          <w:ilvl w:val="0"/>
          <w:numId w:val="1005"/>
        </w:numPr>
      </w:pPr>
      <w:r>
        <w:t xml:space="preserve">Detection ships today for SCHEMA + PROVENANCE in CI; runtime</w:t>
      </w:r>
      <w:r>
        <w:t xml:space="preserve"> </w:t>
      </w:r>
      <w:r>
        <w:t xml:space="preserve">detection of the other three is partial.</w:t>
      </w:r>
    </w:p>
    <w:p>
      <w:pPr>
        <w:pStyle w:val="Compact"/>
        <w:numPr>
          <w:ilvl w:val="0"/>
          <w:numId w:val="1005"/>
        </w:numPr>
      </w:pPr>
      <w:r>
        <w:t xml:space="preserve">The discipline is detect → classify → remediate via contract →</w:t>
      </w:r>
      <w:r>
        <w:t xml:space="preserve"> </w:t>
      </w:r>
      <w:r>
        <w:t xml:space="preserve">emit as evidence.</w:t>
      </w:r>
    </w:p>
    <w:p>
      <w:pPr>
        <w:pStyle w:val="Compact"/>
        <w:numPr>
          <w:ilvl w:val="0"/>
          <w:numId w:val="1005"/>
        </w:numPr>
      </w:pPr>
      <w:r>
        <w:t xml:space="preserve">For the AO, drift findings are a continuous signal between audits.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2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Continue the series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Next:</w:t>
            </w:r>
            <w:r>
              <w:t xml:space="preserve"> </w:t>
            </w:r>
            <w:hyperlink r:id="rId21">
              <w:r>
                <w:rPr>
                  <w:rStyle w:val="Hyperlink"/>
                </w:rPr>
                <w:t xml:space="preserve">Chapter 4 — Deterministic Governance</w:t>
              </w:r>
            </w:hyperlink>
            <w:r>
              <w:t xml:space="preserve"> </w:t>
            </w:r>
            <w:r>
              <w:t xml:space="preserve">— what it takes to make every drift finding assessor-reproducible, byte-for-byte.</w:t>
            </w:r>
          </w:p>
          <w:p/>
        </w:tc>
      </w:tr>
    </w:tbl>
    <w:bookmarkEnd w:id="22"/>
    <w:bookmarkStart w:id="24" w:name="related-documents"/>
    <w:p>
      <w:pPr>
        <w:pStyle w:val="Heading2"/>
      </w:pPr>
      <w:r>
        <w:t xml:space="preserve">Related documents</w:t>
      </w:r>
    </w:p>
    <w:p>
      <w:pPr>
        <w:pStyle w:val="Compact"/>
        <w:numPr>
          <w:ilvl w:val="0"/>
          <w:numId w:val="1006"/>
        </w:numPr>
      </w:pPr>
      <w:hyperlink r:id="rId23">
        <w:r>
          <w:rPr>
            <w:rStyle w:val="Hyperlink"/>
          </w:rPr>
          <w:t xml:space="preserve">Executive Governance Series Index</w:t>
        </w:r>
      </w:hyperlink>
    </w:p>
    <w:p>
      <w:pPr>
        <w:pStyle w:val="Compact"/>
        <w:numPr>
          <w:ilvl w:val="0"/>
          <w:numId w:val="1006"/>
        </w:numPr>
      </w:pPr>
      <w:hyperlink r:id="rId21">
        <w:r>
          <w:rPr>
            <w:rStyle w:val="Hyperlink"/>
          </w:rPr>
          <w:t xml:space="preserve">Chapter 4: Deterministic Governance</w:t>
        </w:r>
      </w:hyperlink>
    </w:p>
    <w:p>
      <w:pPr>
        <w:pStyle w:val="Compact"/>
        <w:numPr>
          <w:ilvl w:val="0"/>
          <w:numId w:val="1006"/>
        </w:numPr>
      </w:pPr>
      <w:r>
        <w:t xml:space="preserve">Architecture Series — Drift Engine</w:t>
      </w:r>
    </w:p>
    <w:p>
      <w:pPr>
        <w:pStyle w:val="Compact"/>
        <w:numPr>
          <w:ilvl w:val="0"/>
          <w:numId w:val="1006"/>
        </w:numPr>
      </w:pPr>
      <w:r>
        <w:t xml:space="preserve">Drift Detection Standard (canon)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hyperlink" Id="rId21" Target="../ch04-deterministic-governance/index.md" TargetMode="External" /><Relationship Type="http://schemas.openxmlformats.org/officeDocument/2006/relationships/hyperlink" Id="rId23" Target="../index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../ch04-deterministic-governance/index.md" TargetMode="External" /><Relationship Type="http://schemas.openxmlformats.org/officeDocument/2006/relationships/hyperlink" Id="rId23" Target="../index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3: Drift as the Primary Threat</dc:title>
  <dc:creator/>
  <cp:keywords/>
  <dcterms:created xsi:type="dcterms:W3CDTF">2026-10-19T10:10:38Z</dcterms:created>
  <dcterms:modified xsi:type="dcterms:W3CDTF">2026-10-19T10:10:38Z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dience">
    <vt:lpwstr/>
  </property>
  <property fmtid="{D5CDD505-2E9C-101B-9397-08002B2CF9AE}" pid="3" name="biblio-config">
    <vt:lpwstr>True</vt:lpwstr>
  </property>
  <property fmtid="{D5CDD505-2E9C-101B-9397-08002B2CF9AE}" pid="4" name="canon-reference">
    <vt:lpwstr/>
  </property>
  <property fmtid="{D5CDD505-2E9C-101B-9397-08002B2CF9AE}" pid="5" name="canon-source">
    <vt:lpwstr>docs/docs/16_DriftDetectionStandard.qmd</vt:lpwstr>
  </property>
  <property fmtid="{D5CDD505-2E9C-101B-9397-08002B2CF9AE}" pid="6" name="created-at">
    <vt:lpwstr>2026-04-26</vt:lpwstr>
  </property>
  <property fmtid="{D5CDD505-2E9C-101B-9397-08002B2CF9AE}" pid="7" name="doc-type">
    <vt:lpwstr>executive-governance-chapter</vt:lpwstr>
  </property>
  <property fmtid="{D5CDD505-2E9C-101B-9397-08002B2CF9AE}" pid="8" name="family">
    <vt:lpwstr>executive-governance-series</vt:lpwstr>
  </property>
  <property fmtid="{D5CDD505-2E9C-101B-9397-08002B2CF9AE}" pid="9" name="header-includes">
    <vt:lpwstr/>
  </property>
  <property fmtid="{D5CDD505-2E9C-101B-9397-08002B2CF9AE}" pid="10" name="include-after">
    <vt:lpwstr/>
  </property>
  <property fmtid="{D5CDD505-2E9C-101B-9397-08002B2CF9AE}" pid="11" name="include-before">
    <vt:lpwstr/>
  </property>
  <property fmtid="{D5CDD505-2E9C-101B-9397-08002B2CF9AE}" pid="12" name="labels">
    <vt:lpwstr/>
  </property>
  <property fmtid="{D5CDD505-2E9C-101B-9397-08002B2CF9AE}" pid="13" name="lifecycle">
    <vt:lpwstr>adopted</vt:lpwstr>
  </property>
  <property fmtid="{D5CDD505-2E9C-101B-9397-08002B2CF9AE}" pid="14" name="lifecycle_review">
    <vt:lpwstr>2026-11-22</vt:lpwstr>
  </property>
  <property fmtid="{D5CDD505-2E9C-101B-9397-08002B2CF9AE}" pid="15" name="repo-path">
    <vt:lpwstr>docs/customer-documents/executive-governance-series/ch03-drift-as-primary-threat</vt:lpwstr>
  </property>
  <property fmtid="{D5CDD505-2E9C-101B-9397-08002B2CF9AE}" pid="16" name="series-order">
    <vt:lpwstr>3</vt:lpwstr>
  </property>
  <property fmtid="{D5CDD505-2E9C-101B-9397-08002B2CF9AE}" pid="17" name="status">
    <vt:lpwstr>Active</vt:lpwstr>
  </property>
  <property fmtid="{D5CDD505-2E9C-101B-9397-08002B2CF9AE}" pid="18" name="subtitle">
    <vt:lpwstr>Executive Governance Series</vt:lpwstr>
  </property>
  <property fmtid="{D5CDD505-2E9C-101B-9397-08002B2CF9AE}" pid="19" name="tiers_adopted">
    <vt:lpwstr/>
  </property>
  <property fmtid="{D5CDD505-2E9C-101B-9397-08002B2CF9AE}" pid="20" name="toc-title">
    <vt:lpwstr>Table of contents</vt:lpwstr>
  </property>
  <property fmtid="{D5CDD505-2E9C-101B-9397-08002B2CF9AE}" pid="21" name="updated-at">
    <vt:lpwstr>2026-05-10</vt:lpwstr>
  </property>
</Properties>
</file>