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4: Deterministic Governance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deterministic-governance"/>
    <w:p>
      <w:pPr>
        <w:pStyle w:val="Heading1"/>
      </w:pPr>
      <w:r>
        <w:t xml:space="preserve">Deterministic Governance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Deterministic governance is the substrate-level alternative to</w:t>
            </w:r>
            <w:r>
              <w:t xml:space="preserve"> </w:t>
            </w:r>
            <w:r>
              <w:t xml:space="preserve">attestation-based compliance. The defining property: given the same</w:t>
            </w:r>
            <w:r>
              <w:t xml:space="preserve"> </w:t>
            </w:r>
            <w:r>
              <w:t xml:space="preserve">canon and the same inputs, the substrate always produces the same</w:t>
            </w:r>
            <w:r>
              <w:t xml:space="preserve"> </w:t>
            </w:r>
            <w:r>
              <w:t xml:space="preserve">evidence — byte-for-byte. This chapter explains what determinism buys</w:t>
            </w:r>
            <w:r>
              <w:t xml:space="preserve"> </w:t>
            </w:r>
            <w:r>
              <w:t xml:space="preserve">operationally, why it is the response to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compliance paradox</w:t>
              </w:r>
            </w:hyperlink>
            <w:r>
              <w:t xml:space="preserve"> </w:t>
            </w:r>
            <w:r>
              <w:t xml:space="preserve">and to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drift</w:t>
              </w:r>
            </w:hyperlink>
            <w:r>
              <w:t xml:space="preserve">, and how the</w:t>
            </w:r>
            <w:r>
              <w:t xml:space="preserve"> </w:t>
            </w:r>
            <w:r>
              <w:t xml:space="preserve">substrate enforces it.</w:t>
            </w:r>
          </w:p>
          <w:p/>
        </w:tc>
      </w:tr>
    </w:tbl>
    <w:bookmarkStart w:id="14" w:name="what-deterministic-means-here"/>
    <w:p>
      <w:pPr>
        <w:pStyle w:val="Heading2"/>
      </w:pPr>
      <w:r>
        <w:t xml:space="preserve">What</w:t>
      </w:r>
      <w:r>
        <w:t xml:space="preserve"> </w:t>
      </w:r>
      <w:r>
        <w:t xml:space="preserve">“deterministic”</w:t>
      </w:r>
      <w:r>
        <w:t xml:space="preserve"> </w:t>
      </w:r>
      <w:r>
        <w:t xml:space="preserve">means here</w:t>
      </w:r>
    </w:p>
    <w:p>
      <w:pPr>
        <w:pStyle w:val="FirstParagraph"/>
      </w:pPr>
      <w:r>
        <w:t xml:space="preserve">Three properties characterize deterministic governance, distinct from</w:t>
      </w:r>
      <w:r>
        <w:t xml:space="preserve"> </w:t>
      </w:r>
      <w:r>
        <w:t xml:space="preserve">“automated”</w:t>
      </w:r>
      <w:r>
        <w:t xml:space="preserve"> </w:t>
      </w:r>
      <w:r>
        <w:t xml:space="preserve">governance: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Reproducibility.</w:t>
      </w:r>
      <w:r>
        <w:t xml:space="preserve"> </w:t>
      </w:r>
      <w:r>
        <w:t xml:space="preserve">Same canon, same inputs → same bundle.</w:t>
      </w:r>
      <w:r>
        <w:t xml:space="preserve"> </w:t>
      </w:r>
      <w:r>
        <w:t xml:space="preserve">Independent re-execution by an assessor is the test.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Provenance.</w:t>
      </w:r>
      <w:r>
        <w:t xml:space="preserve"> </w:t>
      </w:r>
      <w:r>
        <w:t xml:space="preserve">Every claim carries the full envelope (issuer,</w:t>
      </w:r>
      <w:r>
        <w:t xml:space="preserve"> </w:t>
      </w:r>
      <w:r>
        <w:t xml:space="preserve">classification, timestamps, lineage_hash) 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Hash-verifiable lineage.</w:t>
      </w:r>
      <w:r>
        <w:t xml:space="preserve"> </w:t>
      </w:r>
      <w:r>
        <w:t xml:space="preserve">Bundle hash is computed over</w:t>
      </w:r>
      <w:r>
        <w:t xml:space="preserve"> </w:t>
      </w:r>
      <w:r>
        <w:t xml:space="preserve">per-claim hashes; modification anywhere breaks the bundle hash.</w:t>
      </w:r>
    </w:p>
    <w:p>
      <w:pPr>
        <w:pStyle w:val="FirstParagraph"/>
      </w:pPr>
      <w:r>
        <w:t xml:space="preserve">Automation produces faster output. Determinism produces</w:t>
      </w:r>
      <w:r>
        <w:t xml:space="preserve"> </w:t>
      </w:r>
      <w:r>
        <w:rPr>
          <w:i/>
          <w:iCs/>
        </w:rPr>
        <w:t xml:space="preserve">the same</w:t>
      </w:r>
      <w:r>
        <w:t xml:space="preserve"> </w:t>
      </w:r>
      <w:r>
        <w:t xml:space="preserve">output regardless of who runs it or when. Only the second property</w:t>
      </w:r>
      <w:r>
        <w:t xml:space="preserve"> </w:t>
      </w:r>
      <w:r>
        <w:t xml:space="preserve">gives a 3PAO independent verification.</w:t>
      </w:r>
    </w:p>
    <w:p>
      <w:pPr>
        <w:pStyle w:val="BodyText"/>
      </w:pPr>
      <w:r>
        <w:rPr>
          <w:b/>
          <w:bCs/>
        </w:rPr>
        <w:t xml:space="preserve">At a glance — automation is not determinism: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Automation delivers</w:t>
            </w:r>
          </w:p>
        </w:tc>
        <w:tc>
          <w:tcPr/>
          <w:p>
            <w:pPr>
              <w:pStyle w:val="Compact"/>
            </w:pPr>
            <w:r>
              <w:t xml:space="preserve">Determinism delivers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Faster output</w:t>
            </w:r>
          </w:p>
        </w:tc>
        <w:tc>
          <w:tcPr/>
          <w:p>
            <w:pPr>
              <w:pStyle w:val="Compact"/>
            </w:pPr>
            <w:r>
              <w:t xml:space="preserve">Faster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Reproducibility</w:t>
            </w:r>
          </w:p>
        </w:tc>
        <w:tc>
          <w:tcPr/>
          <w:p>
            <w:pPr>
              <w:pStyle w:val="Compact"/>
            </w:pPr>
            <w:r>
              <w:t xml:space="preserve">Output may vary by run, operator, or time</w:t>
            </w:r>
          </w:p>
        </w:tc>
        <w:tc>
          <w:tcPr/>
          <w:p>
            <w:pPr>
              <w:pStyle w:val="Compact"/>
            </w:pPr>
            <w:r>
              <w:t xml:space="preserve">Same canon + inputs → same bundle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Full envelope on every claim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verification</w:t>
            </w:r>
          </w:p>
        </w:tc>
        <w:tc>
          <w:tcPr/>
          <w:p>
            <w:pPr>
              <w:pStyle w:val="Compact"/>
            </w:pPr>
            <w:r>
              <w:t xml:space="preserve">Not guaranteed</w:t>
            </w:r>
          </w:p>
        </w:tc>
        <w:tc>
          <w:tcPr/>
          <w:p>
            <w:pPr>
              <w:pStyle w:val="Compact"/>
            </w:pPr>
            <w:r>
              <w:t xml:space="preserve">A 3PAO re-runs and compares hashes</w:t>
            </w:r>
          </w:p>
        </w:tc>
      </w:tr>
    </w:tbl>
    <w:bookmarkEnd w:id="14"/>
    <w:bookmarkStart w:id="15" w:name="Xd85009c264e7c49a5850235e7c3bdad8948e360"/>
    <w:p>
      <w:pPr>
        <w:pStyle w:val="Heading2"/>
      </w:pPr>
      <w:r>
        <w:t xml:space="preserve">Why determinism is the response to the paradox</w:t>
      </w:r>
    </w:p>
    <w:p>
      <w:pPr>
        <w:pStyle w:val="FirstParagraph"/>
      </w:pP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compliance paradox</w:t>
        </w:r>
      </w:hyperlink>
      <w:r>
        <w:t xml:space="preserve"> </w:t>
      </w:r>
      <w:r>
        <w:t xml:space="preserve">emerges</w:t>
      </w:r>
      <w:r>
        <w:t xml:space="preserve"> </w:t>
      </w:r>
      <w:r>
        <w:t xml:space="preserve">because reported state and substrate state diverge between audit</w:t>
      </w:r>
      <w:r>
        <w:t xml:space="preserve"> </w:t>
      </w:r>
      <w:r>
        <w:t xml:space="preserve">cycles. Determinism collapses the cycle: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Re-running is cheap.</w:t>
      </w:r>
      <w:r>
        <w:t xml:space="preserve"> </w:t>
      </w:r>
      <w:r>
        <w:t xml:space="preserve">A 3PAO does not have to re-engage the</w:t>
      </w:r>
      <w:r>
        <w:t xml:space="preserve"> </w:t>
      </w:r>
      <w:r>
        <w:t xml:space="preserve">operator to re-execute; the substrate runs the assembly itself.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Drift findings are first-class.</w:t>
      </w:r>
      <w:r>
        <w:t xml:space="preserve"> </w:t>
      </w:r>
      <w:r>
        <w:t xml:space="preserve">Between audits, drift findings</w:t>
      </w:r>
      <w:r>
        <w:t xml:space="preserve"> </w:t>
      </w:r>
      <w:r>
        <w:t xml:space="preserve">are emitted continuously and carried into the bundle deterministically.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“snapshot rot.”</w:t>
      </w:r>
      <w:r>
        <w:t xml:space="preserve"> </w:t>
      </w:r>
      <w:r>
        <w:t xml:space="preserve">The bundle from yesterday is regeneratable</w:t>
      </w:r>
      <w:r>
        <w:t xml:space="preserve"> </w:t>
      </w:r>
      <w:r>
        <w:t xml:space="preserve">today, and the regeneration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verification.</w:t>
      </w:r>
    </w:p>
    <w:p>
      <w:pPr>
        <w:pStyle w:val="FirstParagraph"/>
      </w:pPr>
      <w:r>
        <w:t xml:space="preserve">The audit cycle stops being load-bearing for evidence freshness. It</w:t>
      </w:r>
      <w:r>
        <w:t xml:space="preserve"> </w:t>
      </w:r>
      <w:r>
        <w:t xml:space="preserve">becomes a review event for canon changes, ADR decisions, and program</w:t>
      </w:r>
      <w:r>
        <w:t xml:space="preserve"> </w:t>
      </w:r>
      <w:r>
        <w:t xml:space="preserve">posture — which is what an audit cycle should be.</w:t>
      </w:r>
    </w:p>
    <w:bookmarkEnd w:id="15"/>
    <w:bookmarkStart w:id="16" w:name="X0a50a626e4ecf0c5e4d6144a1bc5a1d78903d2d"/>
    <w:p>
      <w:pPr>
        <w:pStyle w:val="Heading2"/>
      </w:pPr>
      <w:r>
        <w:t xml:space="preserve">What determinism is the response to in the drift model</w:t>
      </w:r>
    </w:p>
    <w:p>
      <w:pPr>
        <w:pStyle w:val="FirstParagraph"/>
      </w:pPr>
      <w:r>
        <w:t xml:space="preserve">Drift is detected, classified, and remediated through canonical</w:t>
      </w:r>
      <w:r>
        <w:t xml:space="preserve"> </w:t>
      </w:r>
      <w:r>
        <w:t xml:space="preserve">contracts. Determinism makes those contracts</w:t>
      </w:r>
      <w:r>
        <w:t xml:space="preserve"> </w:t>
      </w:r>
      <w:r>
        <w:rPr>
          <w:i/>
          <w:iCs/>
        </w:rPr>
        <w:t xml:space="preserve">evidence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A remediation contract emitted at time T is part of the bundle for</w:t>
      </w:r>
      <w:r>
        <w:t xml:space="preserve"> </w:t>
      </w:r>
      <w:r>
        <w:t xml:space="preserve">any window covering T.</w:t>
      </w:r>
    </w:p>
    <w:p>
      <w:pPr>
        <w:pStyle w:val="Compact"/>
        <w:numPr>
          <w:ilvl w:val="0"/>
          <w:numId w:val="1003"/>
        </w:numPr>
      </w:pPr>
      <w:r>
        <w:t xml:space="preserve">Re-running the bundle for that window months later produces the</w:t>
      </w:r>
      <w:r>
        <w:t xml:space="preserve"> </w:t>
      </w:r>
      <w:r>
        <w:t xml:space="preserve">same contract record, byte-identical.</w:t>
      </w:r>
    </w:p>
    <w:p>
      <w:pPr>
        <w:pStyle w:val="Compact"/>
        <w:numPr>
          <w:ilvl w:val="0"/>
          <w:numId w:val="1003"/>
        </w:numPr>
      </w:pPr>
      <w:r>
        <w:t xml:space="preserve">The AO can verify the program responded to drift correctly</w:t>
      </w:r>
      <w:r>
        <w:t xml:space="preserve"> </w:t>
      </w:r>
      <w:r>
        <w:rPr>
          <w:i/>
          <w:iCs/>
        </w:rPr>
        <w:t xml:space="preserve">by</w:t>
      </w:r>
      <w:r>
        <w:rPr>
          <w:i/>
          <w:iCs/>
        </w:rPr>
        <w:t xml:space="preserve"> </w:t>
      </w:r>
      <w:r>
        <w:rPr>
          <w:i/>
          <w:iCs/>
        </w:rPr>
        <w:t xml:space="preserve">re-executing</w:t>
      </w:r>
      <w:r>
        <w:t xml:space="preserve">, not by reading a narrative.</w:t>
      </w:r>
    </w:p>
    <w:p>
      <w:pPr>
        <w:pStyle w:val="FirstParagraph"/>
      </w:pPr>
      <w:r>
        <w:t xml:space="preserve">This is why drift detection without determinism is incomplete: the</w:t>
      </w:r>
      <w:r>
        <w:t xml:space="preserve"> </w:t>
      </w:r>
      <w:r>
        <w:t xml:space="preserve">findings exist but are not assessor-reproducible.</w:t>
      </w:r>
    </w:p>
    <w:bookmarkEnd w:id="16"/>
    <w:bookmarkStart w:id="17" w:name="how-the-substrate-enforces-it"/>
    <w:p>
      <w:pPr>
        <w:pStyle w:val="Heading2"/>
      </w:pPr>
      <w:r>
        <w:t xml:space="preserve">How the substrate enforces it</w:t>
      </w:r>
    </w:p>
    <w:p>
      <w:pPr>
        <w:pStyle w:val="FirstParagraph"/>
      </w:pPr>
      <w:r>
        <w:t xml:space="preserve">the program decision</w:t>
      </w:r>
      <w:r>
        <w:t xml:space="preserve"> </w:t>
      </w:r>
      <w:r>
        <w:t xml:space="preserve">declares the four properties evidence emission must satisfy: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 silent drops.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Append-only writes.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Ordered records.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Idempotent ingestion.</w:t>
      </w:r>
    </w:p>
    <w:p>
      <w:pPr>
        <w:pStyle w:val="FirstParagraph"/>
      </w:pPr>
      <w:r>
        <w:t xml:space="preserve">the program decision</w:t>
      </w:r>
      <w:r>
        <w:t xml:space="preserve"> </w:t>
      </w:r>
      <w:r>
        <w:t xml:space="preserve">declares the bundle lifecycle: assemble → seal → submit → close.</w:t>
      </w:r>
      <w:r>
        <w:t xml:space="preserve"> </w:t>
      </w:r>
      <w:r>
        <w:t xml:space="preserve">Once sealed, the bundle is immutable; updates produce new bundles</w:t>
      </w:r>
      <w:r>
        <w:t xml:space="preserve"> </w:t>
      </w:r>
      <w:r>
        <w:t xml:space="preserve">that supersede prior ones with explicit provenance.</w:t>
      </w:r>
    </w:p>
    <w:p>
      <w:pPr>
        <w:pStyle w:val="BodyText"/>
      </w:pPr>
      <w:r>
        <w:t xml:space="preserve">Together these constrain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OSCAL emission the substrate makes.</w:t>
      </w:r>
      <w:r>
        <w:t xml:space="preserve"> </w:t>
      </w:r>
      <w:r>
        <w:t xml:space="preserve">SSP, POA&amp;M, KSI dashboard entries, Component Definition records — all</w:t>
      </w:r>
      <w:r>
        <w:t xml:space="preserve"> </w:t>
      </w:r>
      <w:r>
        <w:t xml:space="preserve">emerge from the same deterministic pipeline.</w:t>
      </w:r>
    </w:p>
    <w:bookmarkEnd w:id="17"/>
    <w:bookmarkStart w:id="18" w:name="what-changes-for-the-program"/>
    <w:p>
      <w:pPr>
        <w:pStyle w:val="Heading2"/>
      </w:pPr>
      <w:r>
        <w:t xml:space="preserve">What changes for the program</w:t>
      </w:r>
    </w:p>
    <w:p>
      <w:pPr>
        <w:pStyle w:val="FirstParagraph"/>
      </w:pPr>
      <w:r>
        <w:t xml:space="preserve">For program leadership, three operational properties: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is regenerable.</w:t>
      </w:r>
      <w:r>
        <w:t xml:space="preserve"> </w:t>
      </w:r>
      <w:r>
        <w:t xml:space="preserve">The program does not have to preserve</w:t>
      </w:r>
      <w:r>
        <w:t xml:space="preserve"> </w:t>
      </w:r>
      <w:r>
        <w:t xml:space="preserve">point-in-time bundles forever; they can be recreated from canon</w:t>
      </w:r>
      <w:r>
        <w:t xml:space="preserve"> </w:t>
      </w:r>
      <w:r>
        <w:t xml:space="preserve">plus archived inputs.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Vendor lock-in shrinks.</w:t>
      </w:r>
      <w:r>
        <w:t xml:space="preserve"> </w:t>
      </w:r>
      <w:r>
        <w:t xml:space="preserve">The substrate’s deterministic emissions</w:t>
      </w:r>
      <w:r>
        <w:t xml:space="preserve"> </w:t>
      </w:r>
      <w:r>
        <w:t xml:space="preserve">do not depend on the vendor’s GRC tool to assemble them.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Post-incident reconstruction is cheap.</w:t>
      </w:r>
      <w:r>
        <w:t xml:space="preserve"> </w:t>
      </w:r>
      <w:r>
        <w:t xml:space="preserve">A 3PAO investigating a</w:t>
      </w:r>
      <w:r>
        <w:t xml:space="preserve"> </w:t>
      </w:r>
      <w:r>
        <w:t xml:space="preserve">past period can regenerate the evidence for that period without</w:t>
      </w:r>
      <w:r>
        <w:t xml:space="preserve"> </w:t>
      </w:r>
      <w:r>
        <w:t xml:space="preserve">the original team’s involvement.</w:t>
      </w:r>
    </w:p>
    <w:p>
      <w:pPr>
        <w:pStyle w:val="BlockText"/>
      </w:pPr>
      <w:r>
        <w:rPr>
          <w:b/>
          <w:bCs/>
        </w:rPr>
        <w:t xml:space="preserve">For the AO, the operational property is simpler: independent</w:t>
      </w:r>
      <w:r>
        <w:rPr>
          <w:b/>
          <w:bCs/>
        </w:rPr>
        <w:t xml:space="preserve"> </w:t>
      </w:r>
      <w:r>
        <w:rPr>
          <w:b/>
          <w:bCs/>
        </w:rPr>
        <w:t xml:space="preserve">verification is a re-run, not an interview.</w:t>
      </w:r>
    </w:p>
    <w:bookmarkEnd w:id="18"/>
    <w:bookmarkStart w:id="19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6"/>
        </w:numPr>
      </w:pPr>
      <w:r>
        <w:t xml:space="preserve">Determinism applies to the evidence layer. Canon correctness is a</w:t>
      </w:r>
      <w:r>
        <w:t xml:space="preserve"> </w:t>
      </w:r>
      <w:r>
        <w:t xml:space="preserve">separate concern; the substrate is faithful to canon, not a check</w:t>
      </w:r>
      <w:r>
        <w:t xml:space="preserve"> </w:t>
      </w:r>
      <w:r>
        <w:t xml:space="preserve">on canon.</w:t>
      </w:r>
    </w:p>
    <w:p>
      <w:pPr>
        <w:pStyle w:val="Compact"/>
        <w:numPr>
          <w:ilvl w:val="0"/>
          <w:numId w:val="1006"/>
        </w:numPr>
      </w:pPr>
      <w:r>
        <w:t xml:space="preserve">Continuous event-time capture across all adapters is target state.</w:t>
      </w:r>
      <w:r>
        <w:t xml:space="preserve"> </w:t>
      </w:r>
      <w:r>
        <w:t xml:space="preserve">Adapters that ship interval evidence today (e.g. ScubaGear) are</w:t>
      </w:r>
      <w:r>
        <w:t xml:space="preserve"> </w:t>
      </w:r>
      <w:r>
        <w:t xml:space="preserve">deterministic per interval; continuous deterministic capture is</w:t>
      </w:r>
      <w:r>
        <w:t xml:space="preserve"> </w:t>
      </w:r>
      <w:r>
        <w:t xml:space="preserve">engineering ahead.</w:t>
      </w:r>
    </w:p>
    <w:p>
      <w:pPr>
        <w:pStyle w:val="Compact"/>
        <w:numPr>
          <w:ilvl w:val="0"/>
          <w:numId w:val="1006"/>
        </w:numPr>
      </w:pPr>
      <w:r>
        <w:t xml:space="preserve">Deterministic regeneration depends on archiving the inputs alongside</w:t>
      </w:r>
      <w:r>
        <w:t xml:space="preserve"> </w:t>
      </w:r>
      <w:r>
        <w:t xml:space="preserve">the canon version. Programs that discard inputs after assembly lose</w:t>
      </w:r>
      <w:r>
        <w:t xml:space="preserve"> </w:t>
      </w:r>
      <w:r>
        <w:t xml:space="preserve">the regeneration property.</w:t>
      </w:r>
    </w:p>
    <w:bookmarkEnd w:id="19"/>
    <w:bookmarkStart w:id="24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7"/>
        </w:numPr>
      </w:pPr>
      <w:r>
        <w:t xml:space="preserve">Determinism is the response to both the compliance paradox and the</w:t>
      </w:r>
      <w:r>
        <w:t xml:space="preserve"> </w:t>
      </w:r>
      <w:r>
        <w:t xml:space="preserve">drift problem.</w:t>
      </w:r>
    </w:p>
    <w:p>
      <w:pPr>
        <w:pStyle w:val="Compact"/>
        <w:numPr>
          <w:ilvl w:val="0"/>
          <w:numId w:val="1007"/>
        </w:numPr>
      </w:pPr>
      <w:r>
        <w:t xml:space="preserve">It is reproducibility + provenance + hash-verifiable lineage —</w:t>
      </w:r>
      <w:r>
        <w:t xml:space="preserve"> </w:t>
      </w:r>
      <w:r>
        <w:t xml:space="preserve">three properties, not just automation.</w:t>
      </w:r>
    </w:p>
    <w:p>
      <w:pPr>
        <w:pStyle w:val="Compact"/>
        <w:numPr>
          <w:ilvl w:val="0"/>
          <w:numId w:val="1007"/>
        </w:numPr>
      </w:pPr>
      <w:r>
        <w:t xml:space="preserve">the program decision + the program decision constrain every OSCAL emission to the</w:t>
      </w:r>
      <w:r>
        <w:t xml:space="preserve"> </w:t>
      </w:r>
      <w:r>
        <w:t xml:space="preserve">deterministic contract.</w:t>
      </w:r>
    </w:p>
    <w:p>
      <w:pPr>
        <w:pStyle w:val="Compact"/>
        <w:numPr>
          <w:ilvl w:val="0"/>
          <w:numId w:val="1007"/>
        </w:numPr>
      </w:pPr>
      <w:r>
        <w:t xml:space="preserve">For the AO, independent verification becomes a re-run.</w:t>
      </w:r>
    </w:p>
    <w:p>
      <w:pPr>
        <w:pStyle w:val="Compact"/>
        <w:numPr>
          <w:ilvl w:val="0"/>
          <w:numId w:val="1007"/>
        </w:numPr>
      </w:pPr>
      <w:r>
        <w:t xml:space="preserve">Honest limit: determinism is faithful to canon; canon correctness is</w:t>
      </w:r>
      <w:r>
        <w:t xml:space="preserve"> </w:t>
      </w:r>
      <w:r>
        <w:t xml:space="preserve">a separate (and primary) concern.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Chapter 5 — The Adapter Model</w:t>
              </w:r>
            </w:hyperlink>
            <w:r>
              <w:t xml:space="preserve"> </w:t>
            </w:r>
            <w:r>
              <w:t xml:space="preserve">— how tools and control planes enter the deterministic substrate without absorbing their idiosyncrasies into canon.</w:t>
            </w:r>
          </w:p>
          <w:p/>
        </w:tc>
      </w:tr>
    </w:tbl>
    <w:bookmarkEnd w:id="24"/>
    <w:bookmarkStart w:id="27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8"/>
        </w:numPr>
      </w:pPr>
      <w:hyperlink r:id="rId25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8"/>
        </w:numPr>
      </w:pPr>
      <w:hyperlink r:id="rId26">
        <w:r>
          <w:rPr>
            <w:rStyle w:val="Hyperlink"/>
          </w:rPr>
          <w:t xml:space="preserve">Chapter 6: Evidence over Attestation</w:t>
        </w:r>
      </w:hyperlink>
    </w:p>
    <w:p>
      <w:pPr>
        <w:pStyle w:val="Compact"/>
        <w:numPr>
          <w:ilvl w:val="0"/>
          <w:numId w:val="1008"/>
        </w:numPr>
      </w:pPr>
      <w:r>
        <w:t xml:space="preserve">Architecture Series — Evidence Chain</w:t>
      </w:r>
    </w:p>
    <w:p>
      <w:pPr>
        <w:pStyle w:val="Compact"/>
        <w:numPr>
          <w:ilvl w:val="0"/>
          <w:numId w:val="1008"/>
        </w:numPr>
      </w:pPr>
      <w:r>
        <w:t xml:space="preserve">the program decision: Evidence Determinism</w:t>
      </w:r>
    </w:p>
    <w:p>
      <w:pPr>
        <w:pStyle w:val="Compact"/>
        <w:numPr>
          <w:ilvl w:val="0"/>
          <w:numId w:val="1008"/>
        </w:numPr>
      </w:pPr>
      <w:r>
        <w:t xml:space="preserve">the program decision: Evidence Bundle Lifecycle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hyperlink" Id="rId12" Target="../ch02-compliance-paradox/index.md" TargetMode="External" /><Relationship Type="http://schemas.openxmlformats.org/officeDocument/2006/relationships/hyperlink" Id="rId13" Target="../ch03-drift-as-primary-threat/index.md" TargetMode="External" /><Relationship Type="http://schemas.openxmlformats.org/officeDocument/2006/relationships/hyperlink" Id="rId23" Target="../ch05-adapter-model/index.md" TargetMode="External" /><Relationship Type="http://schemas.openxmlformats.org/officeDocument/2006/relationships/hyperlink" Id="rId26" Target="../ch06-evidence-over-attestation/index.md" TargetMode="External" /><Relationship Type="http://schemas.openxmlformats.org/officeDocument/2006/relationships/hyperlink" Id="rId25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ch02-compliance-paradox/index.md" TargetMode="External" /><Relationship Type="http://schemas.openxmlformats.org/officeDocument/2006/relationships/hyperlink" Id="rId13" Target="../ch03-drift-as-primary-threat/index.md" TargetMode="External" /><Relationship Type="http://schemas.openxmlformats.org/officeDocument/2006/relationships/hyperlink" Id="rId23" Target="../ch05-adapter-model/index.md" TargetMode="External" /><Relationship Type="http://schemas.openxmlformats.org/officeDocument/2006/relationships/hyperlink" Id="rId26" Target="../ch06-evidence-over-attestation/index.md" TargetMode="External" /><Relationship Type="http://schemas.openxmlformats.org/officeDocument/2006/relationships/hyperlink" Id="rId25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4: Deterministic Governance</dc:title>
  <dc:creator/>
  <cp:keywords/>
  <dcterms:created xsi:type="dcterms:W3CDTF">2026-10-19T10:10:38Z</dcterms:created>
  <dcterms:modified xsi:type="dcterms:W3CDTF">2026-10-19T10:10:38Z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src/fmp/canon/substrate-manifest.yaml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docs/customer-documents/executive-governance-series/ch04-deterministic-governance</vt:lpwstr>
  </property>
  <property fmtid="{D5CDD505-2E9C-101B-9397-08002B2CF9AE}" pid="16" name="series-order">
    <vt:lpwstr>4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