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The Adapter Model</w:t>
      </w:r>
    </w:p>
    <w:p>
      <w:pPr>
        <w:pStyle w:val="Subtitle"/>
      </w:pPr>
      <w:r>
        <w:t xml:space="preserve">Executive Governance Series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the-adapter-model"/>
    <w:p>
      <w:pPr>
        <w:pStyle w:val="Heading1"/>
      </w:pPr>
      <w:r>
        <w:t xml:space="preserve">The Adapter Model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 this chapter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Federal Modernization Program adapter is the substrate’s mechanism for</w:t>
            </w:r>
            <w:r>
              <w:t xml:space="preserve"> </w:t>
            </w:r>
            <w:r>
              <w:rPr>
                <w:b/>
                <w:bCs/>
              </w:rPr>
              <w:t xml:space="preserve">bringing tools and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control planes into a canonical governance surface</w:t>
            </w:r>
            <w:r>
              <w:t xml:space="preserve"> </w:t>
            </w:r>
            <w:r>
              <w:t xml:space="preserve">without absorbing</w:t>
            </w:r>
            <w:r>
              <w:t xml:space="preserve"> </w:t>
            </w:r>
            <w:r>
              <w:t xml:space="preserve">their idiosyncrasies into canon. This chapter explains the dual-axis</w:t>
            </w:r>
            <w:r>
              <w:t xml:space="preserve"> </w:t>
            </w:r>
            <w:r>
              <w:t xml:space="preserve">taxonomy that makes adapters governable, the two-registry model that</w:t>
            </w:r>
            <w:r>
              <w:t xml:space="preserve"> </w:t>
            </w:r>
            <w:r>
              <w:t xml:space="preserve">keeps modernization separate from conformance, and the canon</w:t>
            </w:r>
            <w:r>
              <w:t xml:space="preserve"> </w:t>
            </w:r>
            <w:r>
              <w:t xml:space="preserve">invariants that constrain every adapter regardless of vendor.</w:t>
            </w:r>
          </w:p>
          <w:p/>
        </w:tc>
      </w:tr>
    </w:tbl>
    <w:bookmarkStart w:id="12" w:name="the-dual-axis-taxonomy"/>
    <w:p>
      <w:pPr>
        <w:pStyle w:val="Heading2"/>
      </w:pPr>
      <w:r>
        <w:t xml:space="preserve">The dual-axis taxonomy</w:t>
      </w:r>
    </w:p>
    <w:p>
      <w:pPr>
        <w:pStyle w:val="FirstParagraph"/>
      </w:pPr>
      <w:r>
        <w:t xml:space="preserve">Per FMP_003, every adapter declares two attributes: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modernization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conformance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rPr>
          <w:i/>
          <w:iCs/>
        </w:rPr>
        <w:t xml:space="preserve">Modernization</w:t>
      </w:r>
      <w:r>
        <w:t xml:space="preserve"> </w:t>
      </w:r>
      <w:r>
        <w:t xml:space="preserve">adapters are change-making. They mutate state in</w:t>
      </w:r>
      <w:r>
        <w:t xml:space="preserve"> </w:t>
      </w:r>
      <w:r>
        <w:t xml:space="preserve">pursuit of a target architecture (e.g. moving identities from AD</w:t>
      </w:r>
      <w:r>
        <w:t xml:space="preserve"> </w:t>
      </w:r>
      <w:r>
        <w:t xml:space="preserve">to Entra ID, reshaping the addressing plane).</w:t>
      </w:r>
    </w:p>
    <w:p>
      <w:pPr>
        <w:pStyle w:val="Compact"/>
        <w:numPr>
          <w:ilvl w:val="1"/>
          <w:numId w:val="1002"/>
        </w:numPr>
      </w:pPr>
      <w:r>
        <w:rPr>
          <w:i/>
          <w:iCs/>
        </w:rPr>
        <w:t xml:space="preserve">Conformance</w:t>
      </w:r>
      <w:r>
        <w:t xml:space="preserve"> </w:t>
      </w:r>
      <w:r>
        <w:t xml:space="preserve">adapters are read-only. They observe state and emit</w:t>
      </w:r>
      <w:r>
        <w:t xml:space="preserve"> </w:t>
      </w:r>
      <w:r>
        <w:t xml:space="preserve">canonical claims; they do not mutate.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mission-class</w:t>
      </w:r>
      <w:r>
        <w:t xml:space="preserve">: one of</w:t>
      </w:r>
      <w:r>
        <w:t xml:space="preserve"> </w:t>
      </w:r>
      <w:r>
        <w:rPr>
          <w:rStyle w:val="VerbatimChar"/>
        </w:rPr>
        <w:t xml:space="preserve">identity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telemetry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enforcement</w:t>
      </w:r>
      <w:r>
        <w:t xml:space="preserve">, or</w:t>
      </w:r>
      <w:r>
        <w:t xml:space="preserve"> </w:t>
      </w:r>
      <w:r>
        <w:rPr>
          <w:rStyle w:val="VerbatimChar"/>
        </w:rPr>
        <w:t xml:space="preserve">integration</w:t>
      </w:r>
      <w:r>
        <w:t xml:space="preserve">. Each adapter belongs to exactly</w:t>
      </w:r>
      <w:r>
        <w:t xml:space="preserve"> </w:t>
      </w:r>
      <w:r>
        <w:t xml:space="preserve">one mission class — the canonical concern it primarily serves.</w:t>
      </w:r>
    </w:p>
    <w:p>
      <w:pPr>
        <w:pStyle w:val="FirstParagraph"/>
      </w:pPr>
      <w:r>
        <w:t xml:space="preserve">The cross-product yields a 2×5 matrix. Every adapter lands in exactly</w:t>
      </w:r>
      <w:r>
        <w:t xml:space="preserve"> </w:t>
      </w:r>
      <w:r>
        <w:t xml:space="preserve">one cell. The taxonomy is canonical (declared in</w:t>
      </w:r>
      <w:r>
        <w:t xml:space="preserve"> </w:t>
      </w:r>
      <w:r>
        <w:rPr>
          <w:rStyle w:val="VerbatimChar"/>
        </w:rPr>
        <w:t xml:space="preserve">adapter-registry.yaml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modernization-registry.yaml</w:t>
      </w:r>
      <w:r>
        <w:t xml:space="preserve">)</w:t>
      </w:r>
      <w:r>
        <w:t xml:space="preserve"> </w:t>
      </w:r>
      <w:r>
        <w:t xml:space="preserve">and validated in CI by</w:t>
      </w:r>
      <w:r>
        <w:t xml:space="preserve"> </w:t>
      </w:r>
      <w:r>
        <w:rPr>
          <w:rStyle w:val="VerbatimChar"/>
        </w:rPr>
        <w:t xml:space="preserve">adapter-conformance.yml</w:t>
      </w:r>
      <w:r>
        <w:t xml:space="preserve">.</w:t>
      </w:r>
    </w:p>
    <w:bookmarkEnd w:id="12"/>
    <w:bookmarkStart w:id="13" w:name="why-two-registries"/>
    <w:p>
      <w:pPr>
        <w:pStyle w:val="Heading2"/>
      </w:pPr>
      <w:r>
        <w:t xml:space="preserve">Why two registries</w:t>
      </w:r>
    </w:p>
    <w:p>
      <w:pPr>
        <w:pStyle w:val="FirstParagraph"/>
      </w:pPr>
      <w:r>
        <w:t xml:space="preserve">The two registries are not bureaucratic. They reflect a substrate</w:t>
      </w:r>
      <w:r>
        <w:t xml:space="preserve"> </w:t>
      </w:r>
      <w:r>
        <w:t xml:space="preserve">invariant:</w:t>
      </w:r>
      <w:r>
        <w:t xml:space="preserve"> </w:t>
      </w:r>
      <w:r>
        <w:rPr>
          <w:b/>
          <w:bCs/>
        </w:rPr>
        <w:t xml:space="preserve">conformance adapters must not mutate state</w:t>
      </w:r>
      <w:r>
        <w:t xml:space="preserve">. A</w:t>
      </w:r>
      <w:r>
        <w:t xml:space="preserve"> </w:t>
      </w:r>
      <w:r>
        <w:rPr>
          <w:rStyle w:val="VerbatimChar"/>
        </w:rPr>
        <w:t xml:space="preserve">conformance</w:t>
      </w:r>
      <w:r>
        <w:t xml:space="preserve"> </w:t>
      </w:r>
      <w:r>
        <w:t xml:space="preserve">entry in the wrong registry would silently violate the</w:t>
      </w:r>
      <w:r>
        <w:t xml:space="preserve"> </w:t>
      </w:r>
      <w:r>
        <w:t xml:space="preserve">SSOT principle, so the canon enforces the separation by</w:t>
      </w:r>
      <w:r>
        <w:t xml:space="preserve"> </w:t>
      </w:r>
      <w:r>
        <w:rPr>
          <w:i/>
          <w:iCs/>
        </w:rPr>
        <w:t xml:space="preserve">file</w:t>
      </w:r>
      <w:r>
        <w:t xml:space="preserve">, not by</w:t>
      </w:r>
      <w:r>
        <w:t xml:space="preserve"> </w:t>
      </w:r>
      <w:r>
        <w:t xml:space="preserve">field.</w:t>
      </w:r>
    </w:p>
    <w:p>
      <w:pPr>
        <w:pStyle w:val="BlockText"/>
      </w:pPr>
      <w:r>
        <w:rPr>
          <w:b/>
          <w:bCs/>
        </w:rPr>
        <w:t xml:space="preserve">The separation is enforced by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file</w:t>
      </w:r>
      <w:r>
        <w:rPr>
          <w:b/>
          <w:bCs/>
        </w:rPr>
        <w:t xml:space="preserve">, not by field</w:t>
      </w:r>
      <w:r>
        <w:t xml:space="preserve"> </w:t>
      </w:r>
      <w:r>
        <w:t xml:space="preserve">— so a reviewer can</w:t>
      </w:r>
      <w:r>
        <w:t xml:space="preserve"> </w:t>
      </w:r>
      <w:r>
        <w:t xml:space="preserve">verify the invariant before reading a single line of adapter code.</w:t>
      </w:r>
    </w:p>
    <w:p>
      <w:pPr>
        <w:pStyle w:val="FirstParagraph"/>
      </w:pPr>
      <w:r>
        <w:t xml:space="preserve">Operationally:</w:t>
      </w:r>
    </w:p>
    <w:p>
      <w:pPr>
        <w:pStyle w:val="Compact"/>
        <w:numPr>
          <w:ilvl w:val="0"/>
          <w:numId w:val="1003"/>
        </w:numPr>
      </w:pPr>
      <w:r>
        <w:t xml:space="preserve">A vendor-supplied policy assessor (ScubaGear) ships as a</w:t>
      </w:r>
      <w:r>
        <w:t xml:space="preserve"> </w:t>
      </w:r>
      <w:r>
        <w:rPr>
          <w:rStyle w:val="VerbatimChar"/>
        </w:rPr>
        <w:t xml:space="preserve">conformance / policy</w:t>
      </w:r>
      <w:r>
        <w:t xml:space="preserve"> </w:t>
      </w:r>
      <w:r>
        <w:t xml:space="preserve">adapter. It observes M365 state and emits</w:t>
      </w:r>
      <w:r>
        <w:t xml:space="preserve"> </w:t>
      </w:r>
      <w:r>
        <w:t xml:space="preserve">canonical claims. It cannot mutate the tenant.</w:t>
      </w:r>
    </w:p>
    <w:p>
      <w:pPr>
        <w:pStyle w:val="Compact"/>
        <w:numPr>
          <w:ilvl w:val="0"/>
          <w:numId w:val="1003"/>
        </w:numPr>
      </w:pPr>
      <w:r>
        <w:t xml:space="preserve">A directory-migration adapter (bluecat-address-manager) ships as a</w:t>
      </w:r>
      <w:r>
        <w:t xml:space="preserve"> </w:t>
      </w:r>
      <w:r>
        <w:rPr>
          <w:rStyle w:val="VerbatimChar"/>
        </w:rPr>
        <w:t xml:space="preserve">modernization / identity</w:t>
      </w:r>
      <w:r>
        <w:t xml:space="preserve"> </w:t>
      </w:r>
      <w:r>
        <w:t xml:space="preserve">adapter. It is</w:t>
      </w:r>
      <w:r>
        <w:t xml:space="preserve"> </w:t>
      </w:r>
      <w:r>
        <w:rPr>
          <w:i/>
          <w:iCs/>
        </w:rPr>
        <w:t xml:space="preserve">expected</w:t>
      </w:r>
      <w:r>
        <w:t xml:space="preserve"> </w:t>
      </w:r>
      <w:r>
        <w:t xml:space="preserve">to mutate state;</w:t>
      </w:r>
      <w:r>
        <w:t xml:space="preserve"> </w:t>
      </w:r>
      <w:r>
        <w:t xml:space="preserve">the modernization registry is the file that grants that authority.</w:t>
      </w:r>
    </w:p>
    <w:p>
      <w:pPr>
        <w:pStyle w:val="FirstParagraph"/>
      </w:pPr>
      <w:r>
        <w:t xml:space="preserve">A reviewer auditing a PR can check the file-level invariant before</w:t>
      </w:r>
      <w:r>
        <w:t xml:space="preserve"> </w:t>
      </w:r>
      <w:r>
        <w:t xml:space="preserve">reading any code: a conformance adapter editing the modernization</w:t>
      </w:r>
      <w:r>
        <w:t xml:space="preserve"> </w:t>
      </w:r>
      <w:r>
        <w:t xml:space="preserve">registry is a structural error.</w:t>
      </w:r>
    </w:p>
    <w:p>
      <w:pPr>
        <w:pStyle w:val="BodyText"/>
      </w:pPr>
      <w:r>
        <w:rPr>
          <w:b/>
          <w:bCs/>
        </w:rPr>
        <w:t xml:space="preserve">At a glance — the two registries: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Conformance adapter</w:t>
            </w:r>
          </w:p>
        </w:tc>
        <w:tc>
          <w:tcPr/>
          <w:p>
            <w:pPr>
              <w:pStyle w:val="Compact"/>
            </w:pPr>
            <w:r>
              <w:t xml:space="preserve">Modernization adapter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w:r>
              <w:t xml:space="preserve">ScubaGear (</w:t>
            </w:r>
            <w:r>
              <w:rPr>
                <w:rStyle w:val="VerbatimChar"/>
              </w:rPr>
              <w:t xml:space="preserve">conformance / policy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bluecat-address-manager (</w:t>
            </w:r>
            <w:r>
              <w:rPr>
                <w:rStyle w:val="VerbatimChar"/>
              </w:rPr>
              <w:t xml:space="preserve">modernization / identity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Behavior</w:t>
            </w:r>
          </w:p>
        </w:tc>
        <w:tc>
          <w:tcPr/>
          <w:p>
            <w:pPr>
              <w:pStyle w:val="Compact"/>
            </w:pPr>
            <w:r>
              <w:t xml:space="preserve">Observes state, emits canonical claims</w:t>
            </w:r>
          </w:p>
        </w:tc>
        <w:tc>
          <w:tcPr/>
          <w:p>
            <w:pPr>
              <w:pStyle w:val="Compact"/>
            </w:pPr>
            <w:r>
              <w:t xml:space="preserve">Mutates state toward a target 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SSOT mutation</w:t>
            </w:r>
          </w:p>
        </w:tc>
        <w:tc>
          <w:tcPr/>
          <w:p>
            <w:pPr>
              <w:pStyle w:val="Compact"/>
            </w:pPr>
            <w:r>
              <w:t xml:space="preserve">Never</w:t>
            </w:r>
          </w:p>
        </w:tc>
        <w:tc>
          <w:tcPr/>
          <w:p>
            <w:pPr>
              <w:pStyle w:val="Compact"/>
            </w:pPr>
            <w:r>
              <w:t xml:space="preserve">Governed by canonical change records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Registry file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adapter-registry.yaml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modernization-registry.yaml</w:t>
            </w:r>
          </w:p>
        </w:tc>
      </w:tr>
    </w:tbl>
    <w:bookmarkEnd w:id="13"/>
    <w:bookmarkStart w:id="14" w:name="canon-invariants-every-adapter-inherits"/>
    <w:p>
      <w:pPr>
        <w:pStyle w:val="Heading2"/>
      </w:pPr>
      <w:r>
        <w:t xml:space="preserve">Canon invariants every adapter inherits</w:t>
      </w:r>
    </w:p>
    <w:p>
      <w:pPr>
        <w:pStyle w:val="FirstParagraph"/>
      </w:pPr>
      <w:r>
        <w:t xml:space="preserve">Every adapter, regardless of class, inherits four canon invariants: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Invariant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gcc-boundary: gcc-moderate</w:t>
            </w:r>
          </w:p>
        </w:tc>
        <w:tc>
          <w:tcPr/>
          <w:p>
            <w:pPr>
              <w:pStyle w:val="Compact"/>
            </w:pPr>
            <w:r>
              <w:t xml:space="preserve">Adapter operates within the GCC-Moderate authorization boundary (or a named exception per the program decision)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ssot-mutation: never</w:t>
            </w:r>
            <w:r>
              <w:t xml:space="preserve"> </w:t>
            </w:r>
            <w:r>
              <w:t xml:space="preserve">(conformance) /</w:t>
            </w:r>
            <w:r>
              <w:t xml:space="preserve"> </w:t>
            </w:r>
            <w:r>
              <w:rPr>
                <w:rStyle w:val="VerbatimChar"/>
              </w:rPr>
              <w:t xml:space="preserve">governed</w:t>
            </w:r>
            <w:r>
              <w:t xml:space="preserve"> </w:t>
            </w:r>
            <w:r>
              <w:t xml:space="preserve">(modernization)</w:t>
            </w:r>
          </w:p>
        </w:tc>
        <w:tc>
          <w:tcPr/>
          <w:p>
            <w:pPr>
              <w:pStyle w:val="Compact"/>
            </w:pPr>
            <w:r>
              <w:t xml:space="preserve">Conformance never mutates SSOT; modernization mutations are governed by canonical change records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certificate-anchored: true</w:t>
            </w:r>
          </w:p>
        </w:tc>
        <w:tc>
          <w:tcPr/>
          <w:p>
            <w:pPr>
              <w:pStyle w:val="Compact"/>
            </w:pPr>
            <w:r>
              <w:t xml:space="preserve">mTLS-anchored emission of canonical claims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object-identity-only: true</w:t>
            </w:r>
          </w:p>
        </w:tc>
        <w:tc>
          <w:tcPr/>
          <w:p>
            <w:pPr>
              <w:pStyle w:val="Compact"/>
            </w:pPr>
            <w:r>
              <w:t xml:space="preserve">Identity claims resolve to identity-plane objects, not to opaque strings</w:t>
            </w:r>
          </w:p>
        </w:tc>
      </w:tr>
    </w:tbl>
    <w:p>
      <w:pPr>
        <w:pStyle w:val="BodyText"/>
      </w:pPr>
      <w:r>
        <w:t xml:space="preserve">These are not suggestions. They are schema-validated on every PR.</w:t>
      </w:r>
    </w:p>
    <w:bookmarkEnd w:id="14"/>
    <w:bookmarkStart w:id="15" w:name="microsoft-graph-adapter-convention"/>
    <w:p>
      <w:pPr>
        <w:pStyle w:val="Heading2"/>
      </w:pPr>
      <w:r>
        <w:t xml:space="preserve">Microsoft Graph adapter convention</w:t>
      </w:r>
    </w:p>
    <w:p>
      <w:pPr>
        <w:pStyle w:val="FirstParagraph"/>
      </w:pPr>
      <w:r>
        <w:t xml:space="preserve">Adapters that read from Microsoft Graph resolve their endpoint via</w:t>
      </w:r>
      <w:r>
        <w:t xml:space="preserve"> </w:t>
      </w:r>
      <w:r>
        <w:rPr>
          <w:rStyle w:val="VerbatimChar"/>
        </w:rPr>
        <w:t xml:space="preserve">fmp.adapters._graph_clouds.resolve_graph_base</w:t>
      </w:r>
      <w:r>
        <w:t xml:space="preserve"> </w:t>
      </w:r>
      <w:r>
        <w:t xml:space="preserve">rather than</w:t>
      </w:r>
      <w:r>
        <w:t xml:space="preserve"> </w:t>
      </w:r>
      <w:r>
        <w:t xml:space="preserve">hardcoding hostnames. Accepted config keys: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cloud</w:t>
      </w:r>
      <w:r>
        <w:t xml:space="preserve">:</w:t>
      </w:r>
      <w:r>
        <w:t xml:space="preserve"> </w:t>
      </w:r>
      <w:r>
        <w:rPr>
          <w:rStyle w:val="VerbatimChar"/>
        </w:rPr>
        <w:t xml:space="preserve">commercial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gcc-high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dod</w:t>
      </w:r>
      <w:r>
        <w:t xml:space="preserve"> </w:t>
      </w:r>
      <w:r>
        <w:t xml:space="preserve">(default</w:t>
      </w:r>
      <w:r>
        <w:t xml:space="preserve"> </w:t>
      </w:r>
      <w:r>
        <w:rPr>
          <w:rStyle w:val="VerbatimChar"/>
        </w:rPr>
        <w:t xml:space="preserve">commercial</w:t>
      </w:r>
      <w:r>
        <w:t xml:space="preserve">,</w:t>
      </w:r>
      <w:r>
        <w:t xml:space="preserve"> </w:t>
      </w:r>
      <w:r>
        <w:t xml:space="preserve">also serving GCC-Moderate per the program decision).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graph_api_version</w:t>
      </w:r>
      <w:r>
        <w:t xml:space="preserve">: per-adapter default (</w:t>
      </w:r>
      <w:r>
        <w:rPr>
          <w:rStyle w:val="VerbatimChar"/>
        </w:rPr>
        <w:t xml:space="preserve">beta</w:t>
      </w:r>
      <w:r>
        <w:t xml:space="preserve"> </w:t>
      </w:r>
      <w:r>
        <w:t xml:space="preserve">for IntuneAdapter;</w:t>
      </w:r>
      <w:r>
        <w:t xml:space="preserve"> </w:t>
      </w:r>
      <w:r>
        <w:rPr>
          <w:rStyle w:val="VerbatimChar"/>
        </w:rPr>
        <w:t xml:space="preserve">v1.0</w:t>
      </w:r>
      <w:r>
        <w:t xml:space="preserve"> </w:t>
      </w:r>
      <w:r>
        <w:t xml:space="preserve">for EntraAdapter, M365Adapter, EntraDynamicGroupsAdapter,</w:t>
      </w:r>
      <w:r>
        <w:t xml:space="preserve"> </w:t>
      </w:r>
      <w:r>
        <w:t xml:space="preserve">EntraAdminUnitsAdapter, InBoundaryTelemetry).</w:t>
      </w:r>
    </w:p>
    <w:p>
      <w:pPr>
        <w:pStyle w:val="Compact"/>
        <w:numPr>
          <w:ilvl w:val="0"/>
          <w:numId w:val="1004"/>
        </w:numPr>
      </w:pPr>
      <w:r>
        <w:t xml:space="preserve">An explicit URL override (</w:t>
      </w:r>
      <w:r>
        <w:rPr>
          <w:rStyle w:val="VerbatimChar"/>
        </w:rPr>
        <w:t xml:space="preserve">graph_endpoint</w:t>
      </w:r>
      <w:r>
        <w:t xml:space="preserve"> </w:t>
      </w:r>
      <w:r>
        <w:t xml:space="preserve">for most adapters;</w:t>
      </w:r>
      <w:r>
        <w:t xml:space="preserve"> </w:t>
      </w:r>
      <w:r>
        <w:rPr>
          <w:rStyle w:val="VerbatimChar"/>
        </w:rPr>
        <w:t xml:space="preserve">api_base_url</w:t>
      </w:r>
      <w:r>
        <w:t xml:space="preserve"> </w:t>
      </w:r>
      <w:r>
        <w:t xml:space="preserve">for the two Entra group/AU adapters that pre-dated</w:t>
      </w:r>
      <w:r>
        <w:t xml:space="preserve"> </w:t>
      </w:r>
      <w:r>
        <w:t xml:space="preserve">the convention).</w:t>
      </w:r>
    </w:p>
    <w:p>
      <w:pPr>
        <w:pStyle w:val="FirstParagraph"/>
      </w:pPr>
      <w:r>
        <w:t xml:space="preserve">Unknown clouds fail closed at construction. The convention is what</w:t>
      </w:r>
      <w:r>
        <w:t xml:space="preserve"> </w:t>
      </w:r>
      <w:r>
        <w:t xml:space="preserve">makes the substrate cloud-portable without per-adapter rewrites.</w:t>
      </w:r>
    </w:p>
    <w:bookmarkEnd w:id="15"/>
    <w:bookmarkStart w:id="16" w:name="adapter-retirement-the-program-decision"/>
    <w:p>
      <w:pPr>
        <w:pStyle w:val="Heading2"/>
      </w:pPr>
      <w:r>
        <w:t xml:space="preserve">Adapter retirement (the program decision)</w:t>
      </w:r>
    </w:p>
    <w:p>
      <w:pPr>
        <w:pStyle w:val="FirstParagraph"/>
      </w:pPr>
      <w:r>
        <w:t xml:space="preserve">Adapters do not vanish; they retire. the program decision defines the retirement</w:t>
      </w:r>
      <w:r>
        <w:t xml:space="preserve"> </w:t>
      </w:r>
      <w:r>
        <w:t xml:space="preserve">path: an adapter that is no longer maintained or whose target</w:t>
      </w:r>
      <w:r>
        <w:t xml:space="preserve"> </w:t>
      </w:r>
      <w:r>
        <w:t xml:space="preserve">capability has been superseded transitions through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retired</w:t>
      </w:r>
      <w:r>
        <w:t xml:space="preserve"> </w:t>
      </w:r>
      <w:r>
        <w:t xml:space="preserve">states with explicit canonical successor pointers.</w:t>
      </w:r>
      <w:r>
        <w:t xml:space="preserve"> </w:t>
      </w:r>
      <w:r>
        <w:t xml:space="preserve">Substrate-walker findings catch references to retired adapters as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, ensuring no consumer silently keeps using them.</w:t>
      </w:r>
    </w:p>
    <w:p>
      <w:pPr>
        <w:pStyle w:val="BodyText"/>
      </w:pPr>
      <w:r>
        <w:t xml:space="preserve">This is what allows the substrate to evolve without forcing a forklift</w:t>
      </w:r>
      <w:r>
        <w:t xml:space="preserve"> </w:t>
      </w:r>
      <w:r>
        <w:t xml:space="preserve">upgrade: retirement is a substrate transition, not a removal.</w:t>
      </w:r>
    </w:p>
    <w:bookmarkEnd w:id="16"/>
    <w:bookmarkStart w:id="17" w:name="what-changes-for-an-authorizing-official"/>
    <w:p>
      <w:pPr>
        <w:pStyle w:val="Heading2"/>
      </w:pPr>
      <w:r>
        <w:t xml:space="preserve">What changes for an authorizing official</w:t>
      </w:r>
    </w:p>
    <w:p>
      <w:pPr>
        <w:pStyle w:val="FirstParagraph"/>
      </w:pPr>
      <w:r>
        <w:t xml:space="preserve">The adapter taxonomy delivers four properties to the AO: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Per-adapter evidence trail.</w:t>
      </w:r>
      <w:r>
        <w:t xml:space="preserve"> </w:t>
      </w:r>
      <w:r>
        <w:t xml:space="preserve">Every adapter’s findings are</w:t>
      </w:r>
      <w:r>
        <w:t xml:space="preserve"> </w:t>
      </w:r>
      <w:r>
        <w:t xml:space="preserve">identifiable by</w:t>
      </w:r>
      <w:r>
        <w:t xml:space="preserve"> </w:t>
      </w:r>
      <w:r>
        <w:rPr>
          <w:rStyle w:val="VerbatimChar"/>
        </w:rPr>
        <w:t xml:space="preserve">class</w:t>
      </w:r>
      <w:r>
        <w:t xml:space="preserve"> </w:t>
      </w:r>
      <w:r>
        <w:t xml:space="preserve">×</w:t>
      </w:r>
      <w:r>
        <w:t xml:space="preserve"> </w:t>
      </w:r>
      <w:r>
        <w:rPr>
          <w:rStyle w:val="VerbatimChar"/>
        </w:rPr>
        <w:t xml:space="preserve">mission-class</w:t>
      </w:r>
      <w:r>
        <w:t xml:space="preserve">, allowing per-pillar</w:t>
      </w:r>
      <w:r>
        <w:t xml:space="preserve"> </w:t>
      </w:r>
      <w:r>
        <w:t xml:space="preserve">control mapping.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Conformance / modernization separation in the package.</w:t>
      </w:r>
      <w:r>
        <w:t xml:space="preserve"> </w:t>
      </w:r>
      <w:r>
        <w:t xml:space="preserve">Read-only assessor evidence is structurally distinct from</w:t>
      </w:r>
      <w:r>
        <w:t xml:space="preserve"> </w:t>
      </w:r>
      <w:r>
        <w:t xml:space="preserve">change-making evidence; the AO can treat them differently.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Canon invariants verifiable by inspection.</w:t>
      </w:r>
      <w:r>
        <w:t xml:space="preserve"> </w:t>
      </w:r>
      <w:r>
        <w:t xml:space="preserve">Boundary, SSOT</w:t>
      </w:r>
      <w:r>
        <w:t xml:space="preserve"> </w:t>
      </w:r>
      <w:r>
        <w:t xml:space="preserve">mutation posture, certificate anchoring, and identity binding are</w:t>
      </w:r>
      <w:r>
        <w:t xml:space="preserve"> </w:t>
      </w:r>
      <w:r>
        <w:t xml:space="preserve">declared, not narrated.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Retirement traceability.</w:t>
      </w:r>
      <w:r>
        <w:t xml:space="preserve"> </w:t>
      </w:r>
      <w:r>
        <w:t xml:space="preserve">A retired adapter’s evidence remains</w:t>
      </w:r>
      <w:r>
        <w:t xml:space="preserve"> </w:t>
      </w:r>
      <w:r>
        <w:t xml:space="preserve">reproducible from canon-archived state; the AO does not lose access</w:t>
      </w:r>
      <w:r>
        <w:t xml:space="preserve"> </w:t>
      </w:r>
      <w:r>
        <w:t xml:space="preserve">to past findings when an adapter retires.</w:t>
      </w:r>
    </w:p>
    <w:bookmarkEnd w:id="17"/>
    <w:bookmarkStart w:id="18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6"/>
        </w:numPr>
      </w:pPr>
      <w:r>
        <w:t xml:space="preserve">The taxonomy is opinionated. Tools that do not fit a single</w:t>
      </w:r>
      <w:r>
        <w:t xml:space="preserve"> </w:t>
      </w:r>
      <w:r>
        <w:t xml:space="preserve">mission-class either decompose into multiple adapters or wait for a</w:t>
      </w:r>
      <w:r>
        <w:t xml:space="preserve"> </w:t>
      </w:r>
      <w:r>
        <w:t xml:space="preserve">taxonomy ADR. There is no</w:t>
      </w:r>
      <w:r>
        <w:t xml:space="preserve"> </w:t>
      </w:r>
      <w:r>
        <w:t xml:space="preserve">“miscellaneous”</w:t>
      </w:r>
      <w:r>
        <w:t xml:space="preserve"> </w:t>
      </w:r>
      <w:r>
        <w:t xml:space="preserve">mission-class.</w:t>
      </w:r>
    </w:p>
    <w:p>
      <w:pPr>
        <w:pStyle w:val="Compact"/>
        <w:numPr>
          <w:ilvl w:val="0"/>
          <w:numId w:val="1006"/>
        </w:numPr>
      </w:pPr>
      <w:r>
        <w:t xml:space="preserve">Adapter authoring is engineering work. The substrate provides the</w:t>
      </w:r>
      <w:r>
        <w:t xml:space="preserve"> </w:t>
      </w:r>
      <w:r>
        <w:t xml:space="preserve">contract and the registry; vendors and agencies provide the</w:t>
      </w:r>
      <w:r>
        <w:t xml:space="preserve"> </w:t>
      </w:r>
      <w:r>
        <w:t xml:space="preserve">per-tool implementations.</w:t>
      </w:r>
    </w:p>
    <w:p>
      <w:pPr>
        <w:pStyle w:val="Compact"/>
        <w:numPr>
          <w:ilvl w:val="0"/>
          <w:numId w:val="1006"/>
        </w:numPr>
      </w:pPr>
      <w:r>
        <w:t xml:space="preserve">The two-registry separation does not preserve adapters that mutate</w:t>
      </w:r>
      <w:r>
        <w:t xml:space="preserve"> </w:t>
      </w:r>
      <w:r>
        <w:t xml:space="preserve">conformance behavior at runtime. A conformance adapter that</w:t>
      </w:r>
      <w:r>
        <w:t xml:space="preserve"> </w:t>
      </w:r>
      <w:r>
        <w:t xml:space="preserve">silently mutates is a substrate-level violation, caught by drift</w:t>
      </w:r>
      <w:r>
        <w:t xml:space="preserve"> </w:t>
      </w:r>
      <w:r>
        <w:t xml:space="preserve">detection and resolved by an ADR.</w:t>
      </w:r>
    </w:p>
    <w:bookmarkEnd w:id="18"/>
    <w:bookmarkStart w:id="23" w:name="key-takeaways"/>
    <w:p>
      <w:pPr>
        <w:pStyle w:val="Heading2"/>
      </w:pPr>
      <w:r>
        <w:t xml:space="preserve">Key takeaways</w:t>
      </w:r>
    </w:p>
    <w:p>
      <w:pPr>
        <w:pStyle w:val="Compact"/>
        <w:numPr>
          <w:ilvl w:val="0"/>
          <w:numId w:val="1007"/>
        </w:numPr>
      </w:pPr>
      <w:r>
        <w:t xml:space="preserve">Adapters are the substrate’s tool-integration mechanism.</w:t>
      </w:r>
    </w:p>
    <w:p>
      <w:pPr>
        <w:pStyle w:val="Compact"/>
        <w:numPr>
          <w:ilvl w:val="0"/>
          <w:numId w:val="1007"/>
        </w:numPr>
      </w:pPr>
      <w:r>
        <w:t xml:space="preserve">The dual-axis taxonomy (class × mission-class) is canonical and</w:t>
      </w:r>
      <w:r>
        <w:t xml:space="preserve"> </w:t>
      </w:r>
      <w:r>
        <w:t xml:space="preserve">enforced.</w:t>
      </w:r>
    </w:p>
    <w:p>
      <w:pPr>
        <w:pStyle w:val="Compact"/>
        <w:numPr>
          <w:ilvl w:val="0"/>
          <w:numId w:val="1007"/>
        </w:numPr>
      </w:pPr>
      <w:r>
        <w:t xml:space="preserve">Two registries (conformance / modernization) reflect a substrate</w:t>
      </w:r>
      <w:r>
        <w:t xml:space="preserve"> </w:t>
      </w:r>
      <w:r>
        <w:t xml:space="preserve">invariant about mutation authority.</w:t>
      </w:r>
    </w:p>
    <w:p>
      <w:pPr>
        <w:pStyle w:val="Compact"/>
        <w:numPr>
          <w:ilvl w:val="0"/>
          <w:numId w:val="1007"/>
        </w:numPr>
      </w:pPr>
      <w:r>
        <w:t xml:space="preserve">Four canon invariants apply to every adapter regardless of vendor.</w:t>
      </w:r>
    </w:p>
    <w:p>
      <w:pPr>
        <w:pStyle w:val="Compact"/>
        <w:numPr>
          <w:ilvl w:val="0"/>
          <w:numId w:val="1007"/>
        </w:numPr>
      </w:pPr>
      <w:r>
        <w:t xml:space="preserve">Retirement is a governed substrate transition, not a removal.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Next: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Chapter 6 — Evidence over Attestation</w:t>
              </w:r>
            </w:hyperlink>
            <w:r>
              <w:t xml:space="preserve"> </w:t>
            </w:r>
            <w:r>
              <w:t xml:space="preserve">— why the substrate treats machine-verifiable evidence, not a human signature, as the primary artifact.</w:t>
            </w:r>
          </w:p>
          <w:p/>
        </w:tc>
      </w:tr>
    </w:tbl>
    <w:bookmarkEnd w:id="23"/>
    <w:bookmarkStart w:id="25" w:name="related-documents"/>
    <w:p>
      <w:pPr>
        <w:pStyle w:val="Heading2"/>
      </w:pPr>
      <w:r>
        <w:t xml:space="preserve">Related documents</w:t>
      </w:r>
    </w:p>
    <w:p>
      <w:pPr>
        <w:pStyle w:val="Compact"/>
        <w:numPr>
          <w:ilvl w:val="0"/>
          <w:numId w:val="1008"/>
        </w:numPr>
      </w:pPr>
      <w:hyperlink r:id="rId24">
        <w:r>
          <w:rPr>
            <w:rStyle w:val="Hyperlink"/>
          </w:rPr>
          <w:t xml:space="preserve">Executive Governance Series Index</w:t>
        </w:r>
      </w:hyperlink>
    </w:p>
    <w:p>
      <w:pPr>
        <w:pStyle w:val="Compact"/>
        <w:numPr>
          <w:ilvl w:val="0"/>
          <w:numId w:val="1008"/>
        </w:numPr>
      </w:pPr>
      <w:r>
        <w:t xml:space="preserve">Architecture Series — Three-Layer Rule Model</w:t>
      </w:r>
    </w:p>
    <w:p>
      <w:pPr>
        <w:pStyle w:val="Compact"/>
        <w:numPr>
          <w:ilvl w:val="0"/>
          <w:numId w:val="1008"/>
        </w:numPr>
      </w:pPr>
      <w:r>
        <w:t xml:space="preserve">Adapter Registry (canon)</w:t>
      </w:r>
    </w:p>
    <w:p>
      <w:pPr>
        <w:pStyle w:val="Compact"/>
        <w:numPr>
          <w:ilvl w:val="0"/>
          <w:numId w:val="1008"/>
        </w:numPr>
      </w:pPr>
      <w:r>
        <w:t xml:space="preserve">Modernization Registry (canon)</w:t>
      </w:r>
    </w:p>
    <w:p>
      <w:pPr>
        <w:pStyle w:val="Compact"/>
        <w:numPr>
          <w:ilvl w:val="0"/>
          <w:numId w:val="1008"/>
        </w:numPr>
      </w:pPr>
      <w:r>
        <w:t xml:space="preserve">the program decision: Adapter Retirement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22" Target="../ch06-evidence-over-attestation/index.md" TargetMode="External" /><Relationship Type="http://schemas.openxmlformats.org/officeDocument/2006/relationships/hyperlink" Id="rId24" Target="..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../ch06-evidence-over-attestation/index.md" TargetMode="External" /><Relationship Type="http://schemas.openxmlformats.org/officeDocument/2006/relationships/hyperlink" Id="rId24" Target="..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The Adapter Model</dc:title>
  <dc:creator/>
  <cp:keywords/>
  <dcterms:created xsi:type="dcterms:W3CDTF">2026-10-19T10:10:38Z</dcterms:created>
  <dcterms:modified xsi:type="dcterms:W3CDTF">2026-10-19T10:10:38Z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reference">
    <vt:lpwstr/>
  </property>
  <property fmtid="{D5CDD505-2E9C-101B-9397-08002B2CF9AE}" pid="5" name="canon-source">
    <vt:lpwstr>src/fmp/canon/adapter-registry.yaml</vt:lpwstr>
  </property>
  <property fmtid="{D5CDD505-2E9C-101B-9397-08002B2CF9AE}" pid="6" name="created-at">
    <vt:lpwstr>2026-04-26</vt:lpwstr>
  </property>
  <property fmtid="{D5CDD505-2E9C-101B-9397-08002B2CF9AE}" pid="7" name="doc-type">
    <vt:lpwstr>executive-governance-chapter</vt:lpwstr>
  </property>
  <property fmtid="{D5CDD505-2E9C-101B-9397-08002B2CF9AE}" pid="8" name="family">
    <vt:lpwstr>executive-governance-series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2026-11-22</vt:lpwstr>
  </property>
  <property fmtid="{D5CDD505-2E9C-101B-9397-08002B2CF9AE}" pid="15" name="repo-path">
    <vt:lpwstr>docs/customer-documents/executive-governance-series/ch05-adapter-model</vt:lpwstr>
  </property>
  <property fmtid="{D5CDD505-2E9C-101B-9397-08002B2CF9AE}" pid="16" name="series-order">
    <vt:lpwstr>5</vt:lpwstr>
  </property>
  <property fmtid="{D5CDD505-2E9C-101B-9397-08002B2CF9AE}" pid="17" name="status">
    <vt:lpwstr>Active</vt:lpwstr>
  </property>
  <property fmtid="{D5CDD505-2E9C-101B-9397-08002B2CF9AE}" pid="18" name="subtitle">
    <vt:lpwstr>Executive Governance Series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2026-05-10</vt:lpwstr>
  </property>
</Properties>
</file>