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6: Evidence over Attestation</w:t>
      </w:r>
    </w:p>
    <w:p>
      <w:pPr>
        <w:pStyle w:val="Subtitle"/>
      </w:pPr>
      <w:r>
        <w:t xml:space="preserve">Executive Governance Series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6" w:name="evidence-over-attestation"/>
    <w:p>
      <w:pPr>
        <w:pStyle w:val="Heading1"/>
      </w:pPr>
      <w:r>
        <w:t xml:space="preserve">Evidence over Attestation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In this chapter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Attestation is a human signing that something is true. Evidence is a</w:t>
            </w:r>
            <w:r>
              <w:t xml:space="preserve"> </w:t>
            </w:r>
            <w:r>
              <w:t xml:space="preserve">machine-verifiable artifact showing that it is. The Federal Modernization Program’s substrate</w:t>
            </w:r>
            <w:r>
              <w:t xml:space="preserve"> </w:t>
            </w:r>
            <w:r>
              <w:t xml:space="preserve">treats evidence as the primary artifact and attestation as a</w:t>
            </w:r>
            <w:r>
              <w:t xml:space="preserve"> </w:t>
            </w:r>
            <w:r>
              <w:t xml:space="preserve">supplemental layer rather than the other way around. This chapter</w:t>
            </w:r>
            <w:r>
              <w:t xml:space="preserve"> </w:t>
            </w:r>
            <w:r>
              <w:t xml:space="preserve">explains why the inversion matters and what changes operationally.</w:t>
            </w:r>
          </w:p>
          <w:p/>
        </w:tc>
      </w:tr>
    </w:tbl>
    <w:bookmarkStart w:id="12" w:name="what-attestation-is-and-is-not"/>
    <w:p>
      <w:pPr>
        <w:pStyle w:val="Heading2"/>
      </w:pPr>
      <w:r>
        <w:t xml:space="preserve">What attestation is and is not</w:t>
      </w:r>
    </w:p>
    <w:p>
      <w:pPr>
        <w:pStyle w:val="FirstParagraph"/>
      </w:pPr>
      <w:r>
        <w:t xml:space="preserve">An attestation is a person (or a designated body) signing that, at a</w:t>
      </w:r>
      <w:r>
        <w:t xml:space="preserve"> </w:t>
      </w:r>
      <w:r>
        <w:t xml:space="preserve">moment, a system is in a stated condition. It is necessary for some</w:t>
      </w:r>
      <w:r>
        <w:t xml:space="preserve"> </w:t>
      </w:r>
      <w:r>
        <w:t xml:space="preserve">purposes — accountability, formal authorization, legal liability —</w:t>
      </w:r>
      <w:r>
        <w:t xml:space="preserve"> </w:t>
      </w:r>
      <w:r>
        <w:t xml:space="preserve">and the substrate does not eliminate it.</w:t>
      </w:r>
    </w:p>
    <w:p>
      <w:pPr>
        <w:pStyle w:val="BodyText"/>
      </w:pPr>
      <w:r>
        <w:t xml:space="preserve">What attestation is</w:t>
      </w:r>
      <w:r>
        <w:t xml:space="preserve"> </w:t>
      </w:r>
      <w:r>
        <w:rPr>
          <w:i/>
          <w:iCs/>
        </w:rPr>
        <w:t xml:space="preserve">not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A reproducible verification of substrate truth.</w:t>
      </w:r>
    </w:p>
    <w:p>
      <w:pPr>
        <w:pStyle w:val="Compact"/>
        <w:numPr>
          <w:ilvl w:val="0"/>
          <w:numId w:val="1001"/>
        </w:numPr>
      </w:pPr>
      <w:r>
        <w:t xml:space="preserve">A continuous signal between attestation events.</w:t>
      </w:r>
    </w:p>
    <w:p>
      <w:pPr>
        <w:pStyle w:val="Compact"/>
        <w:numPr>
          <w:ilvl w:val="0"/>
          <w:numId w:val="1001"/>
        </w:numPr>
      </w:pPr>
      <w:r>
        <w:t xml:space="preserve">A hash-bound proof an assessor can re-execute.</w:t>
      </w:r>
    </w:p>
    <w:p>
      <w:pPr>
        <w:pStyle w:val="FirstParagraph"/>
      </w:pPr>
      <w:r>
        <w:t xml:space="preserve">Treating attestation as the primary artifact pushes those three</w:t>
      </w:r>
      <w:r>
        <w:t xml:space="preserve"> </w:t>
      </w:r>
      <w:r>
        <w:t xml:space="preserve">properties out of the package. The substrate inverts the priority:</w:t>
      </w:r>
      <w:r>
        <w:t xml:space="preserve"> </w:t>
      </w:r>
      <w:r>
        <w:t xml:space="preserve">machine evidence is primary, attestation is the human review wrapper</w:t>
      </w:r>
      <w:r>
        <w:t xml:space="preserve"> </w:t>
      </w:r>
      <w:r>
        <w:t xml:space="preserve">on top.</w:t>
      </w:r>
    </w:p>
    <w:p>
      <w:pPr>
        <w:pStyle w:val="BodyText"/>
      </w:pPr>
      <w:r>
        <w:rPr>
          <w:b/>
          <w:bCs/>
        </w:rPr>
        <w:t xml:space="preserve">At a glance — two artifacts, one inversion: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Attestation</w:t>
            </w:r>
          </w:p>
        </w:tc>
        <w:tc>
          <w:tcPr/>
          <w:p>
            <w:pPr>
              <w:pStyle w:val="Compact"/>
            </w:pPr>
            <w:r>
              <w:t xml:space="preserve">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What it is</w:t>
            </w:r>
          </w:p>
        </w:tc>
        <w:tc>
          <w:tcPr/>
          <w:p>
            <w:pPr>
              <w:pStyle w:val="Compact"/>
            </w:pPr>
            <w:r>
              <w:t xml:space="preserve">A human signing that something is true</w:t>
            </w:r>
          </w:p>
        </w:tc>
        <w:tc>
          <w:tcPr/>
          <w:p>
            <w:pPr>
              <w:pStyle w:val="Compact"/>
            </w:pPr>
            <w:r>
              <w:t xml:space="preserve">A machine-verifiable artifact showing it is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Temporal scope</w:t>
            </w:r>
          </w:p>
        </w:tc>
        <w:tc>
          <w:tcPr/>
          <w:p>
            <w:pPr>
              <w:pStyle w:val="Compact"/>
            </w:pPr>
            <w:r>
              <w:t xml:space="preserve">Point-in-time</w:t>
            </w:r>
          </w:p>
        </w:tc>
        <w:tc>
          <w:tcPr/>
          <w:p>
            <w:pPr>
              <w:pStyle w:val="Compact"/>
            </w:pPr>
            <w:r>
              <w:t xml:space="preserve">Continuous between events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Verification</w:t>
            </w:r>
          </w:p>
        </w:tc>
        <w:tc>
          <w:tcPr/>
          <w:p>
            <w:pPr>
              <w:pStyle w:val="Compact"/>
            </w:pPr>
            <w:r>
              <w:t xml:space="preserve">Re-read</w:t>
            </w:r>
          </w:p>
        </w:tc>
        <w:tc>
          <w:tcPr/>
          <w:p>
            <w:pPr>
              <w:pStyle w:val="Compact"/>
            </w:pPr>
            <w:r>
              <w:t xml:space="preserve">Re-execute and hash-check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Role in the Federal Modernization Program</w:t>
            </w:r>
          </w:p>
        </w:tc>
        <w:tc>
          <w:tcPr/>
          <w:p>
            <w:pPr>
              <w:pStyle w:val="Compact"/>
            </w:pPr>
            <w:r>
              <w:t xml:space="preserve">Human accountability wrapper</w:t>
            </w:r>
          </w:p>
        </w:tc>
        <w:tc>
          <w:tcPr/>
          <w:p>
            <w:pPr>
              <w:pStyle w:val="Compact"/>
            </w:pPr>
            <w:r>
              <w:t xml:space="preserve">Primary artifact</w:t>
            </w:r>
          </w:p>
        </w:tc>
      </w:tr>
    </w:tbl>
    <w:bookmarkEnd w:id="12"/>
    <w:bookmarkStart w:id="13" w:name="what-evidence-means-in-canon"/>
    <w:p>
      <w:pPr>
        <w:pStyle w:val="Heading2"/>
      </w:pPr>
      <w:r>
        <w:t xml:space="preserve">What</w:t>
      </w:r>
      <w:r>
        <w:t xml:space="preserve"> </w:t>
      </w:r>
      <w:r>
        <w:t xml:space="preserve">“evidence”</w:t>
      </w:r>
      <w:r>
        <w:t xml:space="preserve"> </w:t>
      </w:r>
      <w:r>
        <w:t xml:space="preserve">means in canon</w:t>
      </w:r>
    </w:p>
    <w:p>
      <w:pPr>
        <w:pStyle w:val="FirstParagraph"/>
      </w:pPr>
      <w:r>
        <w:t xml:space="preserve">Per</w:t>
      </w:r>
      <w:r>
        <w:t xml:space="preserve"> </w:t>
      </w:r>
      <w:r>
        <w:rPr>
          <w:rStyle w:val="VerbatimChar"/>
        </w:rPr>
        <w:t xml:space="preserve">15_ProvenanceProfile.qmd</w:t>
      </w:r>
      <w:r>
        <w:t xml:space="preserve">,</w:t>
      </w:r>
      <w:r>
        <w:t xml:space="preserve"> </w:t>
      </w:r>
      <w:r>
        <w:t xml:space="preserve">every claim emitted into the substrate carries the full provenance</w:t>
      </w:r>
      <w:r>
        <w:t xml:space="preserve"> </w:t>
      </w:r>
      <w:r>
        <w:t xml:space="preserve">envelope: claim_id, issuer_identity, source_classification, extraction</w:t>
      </w:r>
      <w:r>
        <w:t xml:space="preserve"> </w:t>
      </w:r>
      <w:r>
        <w:t xml:space="preserve">timestamp and method, transformation_chain, lineage_hash, schema_version,</w:t>
      </w:r>
      <w:r>
        <w:t xml:space="preserve"> </w:t>
      </w:r>
      <w:r>
        <w:t xml:space="preserve">signature.</w:t>
      </w:r>
    </w:p>
    <w:p>
      <w:pPr>
        <w:pStyle w:val="BodyText"/>
      </w:pPr>
      <w:r>
        <w:t xml:space="preserve">Two structural properties of this envelope matter for the</w:t>
      </w:r>
      <w:r>
        <w:t xml:space="preserve"> </w:t>
      </w:r>
      <w:r>
        <w:t xml:space="preserve">“evidence over attestation”</w:t>
      </w:r>
      <w:r>
        <w:t xml:space="preserve"> </w:t>
      </w:r>
      <w:r>
        <w:t xml:space="preserve">position: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  <w:b/>
          <w:bCs/>
        </w:rPr>
        <w:t xml:space="preserve">source_classification</w:t>
      </w:r>
      <w:r>
        <w:rPr>
          <w:b/>
          <w:bCs/>
        </w:rPr>
        <w:t xml:space="preserve"> </w:t>
      </w:r>
      <w:r>
        <w:rPr>
          <w:b/>
          <w:bCs/>
        </w:rPr>
        <w:t xml:space="preserve">is canonical.</w:t>
      </w:r>
      <w:r>
        <w:t xml:space="preserve"> </w:t>
      </w:r>
      <w:r>
        <w:t xml:space="preserve">A claim is</w:t>
      </w:r>
      <w:r>
        <w:t xml:space="preserve"> </w:t>
      </w:r>
      <w:r>
        <w:rPr>
          <w:rStyle w:val="VerbatimChar"/>
        </w:rPr>
        <w:t xml:space="preserve">authoritative</w:t>
      </w:r>
      <w:r>
        <w:t xml:space="preserve">,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, or</w:t>
      </w:r>
      <w:r>
        <w:t xml:space="preserve"> </w:t>
      </w:r>
      <w:r>
        <w:rPr>
          <w:rStyle w:val="VerbatimChar"/>
        </w:rPr>
        <w:t xml:space="preserve">synthesized</w:t>
      </w:r>
      <w:r>
        <w:t xml:space="preserve">. The classification</w:t>
      </w:r>
      <w:r>
        <w:t xml:space="preserve"> </w:t>
      </w:r>
      <w:r>
        <w:t xml:space="preserve">is verifiable by re-executing the adapter; it is not an</w:t>
      </w:r>
      <w:r>
        <w:t xml:space="preserve"> </w:t>
      </w:r>
      <w:r>
        <w:t xml:space="preserve">operator’s judgment call.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  <w:b/>
          <w:bCs/>
        </w:rPr>
        <w:t xml:space="preserve">transformation_chain</w:t>
      </w:r>
      <w:r>
        <w:rPr>
          <w:b/>
          <w:bCs/>
        </w:rPr>
        <w:t xml:space="preserve"> </w:t>
      </w:r>
      <w:r>
        <w:rPr>
          <w:b/>
          <w:bCs/>
        </w:rPr>
        <w:t xml:space="preserve">is append-only.</w:t>
      </w:r>
      <w:r>
        <w:t xml:space="preserve"> </w:t>
      </w:r>
      <w:r>
        <w:t xml:space="preserve">Once a step is recorded</w:t>
      </w:r>
      <w:r>
        <w:t xml:space="preserve"> </w:t>
      </w:r>
      <w:r>
        <w:t xml:space="preserve">and signed, it cannot be removed or reordered. Re-execution that</w:t>
      </w:r>
      <w:r>
        <w:t xml:space="preserve"> </w:t>
      </w:r>
      <w:r>
        <w:t xml:space="preserve">would produce a different chain is itself a</w:t>
      </w:r>
      <w:r>
        <w:t xml:space="preserve"> </w:t>
      </w:r>
      <w:r>
        <w:rPr>
          <w:rStyle w:val="VerbatimChar"/>
        </w:rPr>
        <w:t xml:space="preserve">DRIFT-PROVENANCE</w:t>
      </w:r>
      <w:r>
        <w:t xml:space="preserve"> </w:t>
      </w:r>
      <w:r>
        <w:t xml:space="preserve">finding.</w:t>
      </w:r>
    </w:p>
    <w:p>
      <w:pPr>
        <w:pStyle w:val="FirstParagraph"/>
      </w:pPr>
      <w:r>
        <w:t xml:space="preserve">These properties make machine evidence</w:t>
      </w:r>
      <w:r>
        <w:t xml:space="preserve"> </w:t>
      </w:r>
      <w:r>
        <w:rPr>
          <w:i/>
          <w:iCs/>
        </w:rPr>
        <w:t xml:space="preserve">better</w:t>
      </w:r>
      <w:r>
        <w:t xml:space="preserve"> </w:t>
      </w:r>
      <w:r>
        <w:t xml:space="preserve">than attestation for</w:t>
      </w:r>
      <w:r>
        <w:t xml:space="preserve"> </w:t>
      </w:r>
      <w:r>
        <w:t xml:space="preserve">verification, not just</w:t>
      </w:r>
      <w:r>
        <w:t xml:space="preserve"> </w:t>
      </w:r>
      <w:r>
        <w:rPr>
          <w:i/>
          <w:iCs/>
        </w:rPr>
        <w:t xml:space="preserve">cheaper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An assessor can re-execute and verify; an attestation can only be</w:t>
      </w:r>
      <w:r>
        <w:rPr>
          <w:b/>
          <w:bCs/>
        </w:rPr>
        <w:t xml:space="preserve"> </w:t>
      </w:r>
      <w:r>
        <w:rPr>
          <w:b/>
          <w:bCs/>
        </w:rPr>
        <w:t xml:space="preserve">re-read.</w:t>
      </w:r>
      <w:r>
        <w:t xml:space="preserve"> </w:t>
      </w:r>
      <w:r>
        <w:t xml:space="preserve">That is the whole of the inversion.</w:t>
      </w:r>
    </w:p>
    <w:bookmarkEnd w:id="13"/>
    <w:bookmarkStart w:id="14" w:name="what-changes-for-the-assessor"/>
    <w:p>
      <w:pPr>
        <w:pStyle w:val="Heading2"/>
      </w:pPr>
      <w:r>
        <w:t xml:space="preserve">What changes for the assessor</w:t>
      </w:r>
    </w:p>
    <w:p>
      <w:pPr>
        <w:pStyle w:val="FirstParagraph"/>
      </w:pPr>
      <w:r>
        <w:t xml:space="preserve">A 3PAO assessing an FMP-anchored package gets four properties they</w:t>
      </w:r>
      <w:r>
        <w:t xml:space="preserve"> </w:t>
      </w:r>
      <w:r>
        <w:t xml:space="preserve">cannot get from an attestation package: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Independent re-execution</w:t>
      </w:r>
      <w:r>
        <w:t xml:space="preserve"> </w:t>
      </w:r>
      <w:r>
        <w:t xml:space="preserve">— they re-run the OSCAL pipeline and</w:t>
      </w:r>
      <w:r>
        <w:t xml:space="preserve"> </w:t>
      </w:r>
      <w:r>
        <w:t xml:space="preserve">verify the bundle hash matches.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Per-claim source classification</w:t>
      </w:r>
      <w:r>
        <w:t xml:space="preserve"> </w:t>
      </w:r>
      <w:r>
        <w:t xml:space="preserve">— authoritative claims are</w:t>
      </w:r>
      <w:r>
        <w:t xml:space="preserve"> </w:t>
      </w:r>
      <w:r>
        <w:t xml:space="preserve">distinguished from derived at the field level.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Tamper-evident lineage</w:t>
      </w:r>
      <w:r>
        <w:t xml:space="preserve"> </w:t>
      </w:r>
      <w:r>
        <w:t xml:space="preserve">— modification anywhere breaks the</w:t>
      </w:r>
      <w:r>
        <w:t xml:space="preserve"> </w:t>
      </w:r>
      <w:r>
        <w:t xml:space="preserve">bundle hash.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Drift-coupled remediation</w:t>
      </w:r>
      <w:r>
        <w:t xml:space="preserve"> </w:t>
      </w:r>
      <w:r>
        <w:t xml:space="preserve">— a</w:t>
      </w:r>
      <w:r>
        <w:t xml:space="preserve"> </w:t>
      </w:r>
      <w:r>
        <w:rPr>
          <w:rStyle w:val="VerbatimChar"/>
        </w:rPr>
        <w:t xml:space="preserve">DRIFT-PROVENANCE</w:t>
      </w:r>
      <w:r>
        <w:t xml:space="preserve"> </w:t>
      </w:r>
      <w:r>
        <w:t xml:space="preserve">finding from</w:t>
      </w:r>
      <w:r>
        <w:t xml:space="preserve"> </w:t>
      </w:r>
      <w:r>
        <w:t xml:space="preserve">the Drift Engine</w:t>
      </w:r>
      <w:r>
        <w:t xml:space="preserve"> </w:t>
      </w:r>
      <w:r>
        <w:t xml:space="preserve">identifies the affected claim(s) directly.</w:t>
      </w:r>
    </w:p>
    <w:p>
      <w:pPr>
        <w:pStyle w:val="FirstParagraph"/>
      </w:pPr>
      <w:r>
        <w:t xml:space="preserve">Attestations remain in the package. They are no longer the primary</w:t>
      </w:r>
      <w:r>
        <w:t xml:space="preserve"> </w:t>
      </w:r>
      <w:r>
        <w:t xml:space="preserve">verification surface — they are the human accountability wrapper on</w:t>
      </w:r>
      <w:r>
        <w:t xml:space="preserve"> </w:t>
      </w:r>
      <w:r>
        <w:t xml:space="preserve">top of a machine-verifiable substrate.</w:t>
      </w:r>
    </w:p>
    <w:bookmarkEnd w:id="14"/>
    <w:bookmarkStart w:id="15" w:name="what-changes-for-the-operator"/>
    <w:p>
      <w:pPr>
        <w:pStyle w:val="Heading2"/>
      </w:pPr>
      <w:r>
        <w:t xml:space="preserve">What changes for the operator</w:t>
      </w:r>
    </w:p>
    <w:p>
      <w:pPr>
        <w:pStyle w:val="FirstParagraph"/>
      </w:pPr>
      <w:r>
        <w:t xml:space="preserve">For the operator, the substrate-level evidence-first posture changes: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Evidence is regenerable.</w:t>
      </w:r>
      <w:r>
        <w:t xml:space="preserve"> </w:t>
      </w:r>
      <w:r>
        <w:t xml:space="preserve">The team does not have to preserve</w:t>
      </w:r>
      <w:r>
        <w:t xml:space="preserve"> </w:t>
      </w:r>
      <w:r>
        <w:t xml:space="preserve">point-in-time bundles indefinitely; they regenerate from canon</w:t>
      </w:r>
      <w:r>
        <w:t xml:space="preserve"> </w:t>
      </w:r>
      <w:r>
        <w:t xml:space="preserve">plus archived inputs.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Attestation work shrinks.</w:t>
      </w:r>
      <w:r>
        <w:t xml:space="preserve"> </w:t>
      </w:r>
      <w:r>
        <w:t xml:space="preserve">Humans attest at the canon-change</w:t>
      </w:r>
      <w:r>
        <w:t xml:space="preserve"> </w:t>
      </w:r>
      <w:r>
        <w:t xml:space="preserve">ADR layer, not per-control-per-cycle.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Audit-prep cost drops.</w:t>
      </w:r>
      <w:r>
        <w:t xml:space="preserve"> </w:t>
      </w:r>
      <w:r>
        <w:t xml:space="preserve">Bundles assemble deterministically; the</w:t>
      </w:r>
      <w:r>
        <w:t xml:space="preserve"> </w:t>
      </w:r>
      <w:r>
        <w:t xml:space="preserve">operator does not re-engineer the package per audit.</w:t>
      </w:r>
    </w:p>
    <w:p>
      <w:pPr>
        <w:pStyle w:val="FirstParagraph"/>
      </w:pPr>
      <w:r>
        <w:t xml:space="preserve">The work shifts from</w:t>
      </w:r>
      <w:r>
        <w:t xml:space="preserve"> </w:t>
      </w:r>
      <w:r>
        <w:t xml:space="preserve">“produce the package”</w:t>
      </w:r>
      <w:r>
        <w:t xml:space="preserve"> </w:t>
      </w:r>
      <w:r>
        <w:t xml:space="preserve">to</w:t>
      </w:r>
      <w:r>
        <w:t xml:space="preserve"> </w:t>
      </w:r>
      <w:r>
        <w:t xml:space="preserve">“keep the substrate</w:t>
      </w:r>
      <w:r>
        <w:t xml:space="preserve"> </w:t>
      </w:r>
      <w:r>
        <w:t xml:space="preserve">truthful so the package emits correctly.”</w:t>
      </w:r>
    </w:p>
    <w:bookmarkEnd w:id="15"/>
    <w:bookmarkStart w:id="16" w:name="what-does-not-change"/>
    <w:p>
      <w:pPr>
        <w:pStyle w:val="Heading2"/>
      </w:pPr>
      <w:r>
        <w:t xml:space="preserve">What does not change</w:t>
      </w:r>
    </w:p>
    <w:p>
      <w:pPr>
        <w:pStyle w:val="FirstParagraph"/>
      </w:pPr>
      <w:r>
        <w:t xml:space="preserve">Three properties intentionally remain:</w:t>
      </w:r>
    </w:p>
    <w:p>
      <w:pPr>
        <w:pStyle w:val="Compact"/>
        <w:numPr>
          <w:ilvl w:val="0"/>
          <w:numId w:val="1005"/>
        </w:numPr>
      </w:pPr>
      <w:r>
        <w:t xml:space="preserve">Authorizing officials still authorize. The substrate emits evidence;</w:t>
      </w:r>
      <w:r>
        <w:t xml:space="preserve"> </w:t>
      </w:r>
      <w:r>
        <w:t xml:space="preserve">it does not replace the AO’s judgment.</w:t>
      </w:r>
    </w:p>
    <w:p>
      <w:pPr>
        <w:pStyle w:val="Compact"/>
        <w:numPr>
          <w:ilvl w:val="0"/>
          <w:numId w:val="1005"/>
        </w:numPr>
      </w:pPr>
      <w:r>
        <w:t xml:space="preserve">Canon stewards still author canon, and ADRs still go through</w:t>
      </w:r>
      <w:r>
        <w:t xml:space="preserve"> </w:t>
      </w:r>
      <w:r>
        <w:t xml:space="preserve">governance review. Determinism is faithful to canon, not a check</w:t>
      </w:r>
      <w:r>
        <w:t xml:space="preserve"> </w:t>
      </w:r>
      <w:r>
        <w:t xml:space="preserve">on it.</w:t>
      </w:r>
    </w:p>
    <w:p>
      <w:pPr>
        <w:pStyle w:val="Compact"/>
        <w:numPr>
          <w:ilvl w:val="0"/>
          <w:numId w:val="1005"/>
        </w:numPr>
      </w:pPr>
      <w:r>
        <w:t xml:space="preserve">Humans still review evidence at audit boundaries. The review</w:t>
      </w:r>
      <w:r>
        <w:t xml:space="preserve"> </w:t>
      </w:r>
      <w:r>
        <w:t xml:space="preserve">becomes a higher-leverage activity (canon and ADRs) rather than a</w:t>
      </w:r>
      <w:r>
        <w:t xml:space="preserve"> </w:t>
      </w:r>
      <w:r>
        <w:t xml:space="preserve">lower-leverage one (line-item attestation).</w:t>
      </w:r>
    </w:p>
    <w:bookmarkEnd w:id="16"/>
    <w:bookmarkStart w:id="17" w:name="honest-limits"/>
    <w:p>
      <w:pPr>
        <w:pStyle w:val="Heading2"/>
      </w:pPr>
      <w:r>
        <w:t xml:space="preserve">Honest limits</w:t>
      </w:r>
    </w:p>
    <w:p>
      <w:pPr>
        <w:pStyle w:val="Compact"/>
        <w:numPr>
          <w:ilvl w:val="0"/>
          <w:numId w:val="1006"/>
        </w:numPr>
      </w:pPr>
      <w:r>
        <w:t xml:space="preserve">The substrate does not eliminate attestation. It changes what gets</w:t>
      </w:r>
      <w:r>
        <w:t xml:space="preserve"> </w:t>
      </w:r>
      <w:r>
        <w:t xml:space="preserve">attested and at what frequency.</w:t>
      </w:r>
    </w:p>
    <w:p>
      <w:pPr>
        <w:pStyle w:val="Compact"/>
        <w:numPr>
          <w:ilvl w:val="0"/>
          <w:numId w:val="1006"/>
        </w:numPr>
      </w:pPr>
      <w:r>
        <w:t xml:space="preserve">Adapters that have not yet implemented continuous evidence emission</w:t>
      </w:r>
      <w:r>
        <w:t xml:space="preserve"> </w:t>
      </w:r>
      <w:r>
        <w:t xml:space="preserve">fall back to interval evidence (e.g. ScubaGear); interval evidence</w:t>
      </w:r>
      <w:r>
        <w:t xml:space="preserve"> </w:t>
      </w:r>
      <w:r>
        <w:t xml:space="preserve">is still deterministic per interval, but is not continuous.</w:t>
      </w:r>
    </w:p>
    <w:p>
      <w:pPr>
        <w:pStyle w:val="Compact"/>
        <w:numPr>
          <w:ilvl w:val="0"/>
          <w:numId w:val="1006"/>
        </w:numPr>
      </w:pPr>
      <w:r>
        <w:t xml:space="preserve">Cryptographic signing of evidence with agency-issued certificates</w:t>
      </w:r>
      <w:r>
        <w:t xml:space="preserve"> </w:t>
      </w:r>
      <w:r>
        <w:t xml:space="preserve">is design-only today; the envelope reserves the field, but full</w:t>
      </w:r>
      <w:r>
        <w:t xml:space="preserve"> </w:t>
      </w:r>
      <w:r>
        <w:t xml:space="preserve">end-to-end signing across all adapters is target state.</w:t>
      </w:r>
    </w:p>
    <w:bookmarkEnd w:id="17"/>
    <w:bookmarkStart w:id="22" w:name="key-takeaways"/>
    <w:p>
      <w:pPr>
        <w:pStyle w:val="Heading2"/>
      </w:pPr>
      <w:r>
        <w:t xml:space="preserve">Key takeaways</w:t>
      </w:r>
    </w:p>
    <w:p>
      <w:pPr>
        <w:pStyle w:val="Compact"/>
        <w:numPr>
          <w:ilvl w:val="0"/>
          <w:numId w:val="1007"/>
        </w:numPr>
      </w:pPr>
      <w:r>
        <w:t xml:space="preserve">Attestation and evidence are different artifacts; the substrate</w:t>
      </w:r>
      <w:r>
        <w:t xml:space="preserve"> </w:t>
      </w:r>
      <w:r>
        <w:t xml:space="preserve">inverts which is primary.</w:t>
      </w:r>
    </w:p>
    <w:p>
      <w:pPr>
        <w:pStyle w:val="Compact"/>
        <w:numPr>
          <w:ilvl w:val="0"/>
          <w:numId w:val="1007"/>
        </w:numPr>
      </w:pPr>
      <w:r>
        <w:t xml:space="preserve">The provenance envelope makes evidence reproducibly verifiable in a</w:t>
      </w:r>
      <w:r>
        <w:t xml:space="preserve"> </w:t>
      </w:r>
      <w:r>
        <w:t xml:space="preserve">way attestations cannot be.</w:t>
      </w:r>
    </w:p>
    <w:p>
      <w:pPr>
        <w:pStyle w:val="Compact"/>
        <w:numPr>
          <w:ilvl w:val="0"/>
          <w:numId w:val="1007"/>
        </w:numPr>
      </w:pPr>
      <w:r>
        <w:t xml:space="preserve">For the assessor, verification becomes a re-run.</w:t>
      </w:r>
    </w:p>
    <w:p>
      <w:pPr>
        <w:pStyle w:val="Compact"/>
        <w:numPr>
          <w:ilvl w:val="0"/>
          <w:numId w:val="1007"/>
        </w:numPr>
      </w:pPr>
      <w:r>
        <w:t xml:space="preserve">For the operator, audit-prep cost drops; canon-change discipline</w:t>
      </w:r>
      <w:r>
        <w:t xml:space="preserve"> </w:t>
      </w:r>
      <w:r>
        <w:t xml:space="preserve">becomes the primary review surface.</w:t>
      </w:r>
    </w:p>
    <w:p>
      <w:pPr>
        <w:pStyle w:val="Compact"/>
        <w:numPr>
          <w:ilvl w:val="0"/>
          <w:numId w:val="1007"/>
        </w:numPr>
      </w:pPr>
      <w:r>
        <w:t xml:space="preserve">Honest limits remain around continuous capture and signing</w:t>
      </w:r>
      <w:r>
        <w:t xml:space="preserve"> </w:t>
      </w:r>
      <w:r>
        <w:t xml:space="preserve">maturity.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Continue the series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Next:</w:t>
            </w:r>
            <w:r>
              <w:t xml:space="preserve"> </w:t>
            </w:r>
            <w:hyperlink r:id="rId21">
              <w:r>
                <w:rPr>
                  <w:rStyle w:val="Hyperlink"/>
                </w:rPr>
                <w:t xml:space="preserve">Chapter 7 — Operational Tempo</w:t>
              </w:r>
            </w:hyperlink>
            <w:r>
              <w:t xml:space="preserve"> </w:t>
            </w:r>
            <w:r>
              <w:t xml:space="preserve">— the cadence at which detection, remediation, and escalation must run for the evidence to stay truthful.</w:t>
            </w:r>
          </w:p>
          <w:p/>
        </w:tc>
      </w:tr>
    </w:tbl>
    <w:bookmarkEnd w:id="22"/>
    <w:bookmarkStart w:id="25" w:name="related-documents"/>
    <w:p>
      <w:pPr>
        <w:pStyle w:val="Heading2"/>
      </w:pPr>
      <w:r>
        <w:t xml:space="preserve">Related documents</w:t>
      </w:r>
    </w:p>
    <w:p>
      <w:pPr>
        <w:pStyle w:val="Compact"/>
        <w:numPr>
          <w:ilvl w:val="0"/>
          <w:numId w:val="1008"/>
        </w:numPr>
      </w:pPr>
      <w:hyperlink r:id="rId23">
        <w:r>
          <w:rPr>
            <w:rStyle w:val="Hyperlink"/>
          </w:rPr>
          <w:t xml:space="preserve">Executive Governance Series Index</w:t>
        </w:r>
      </w:hyperlink>
    </w:p>
    <w:p>
      <w:pPr>
        <w:pStyle w:val="Compact"/>
        <w:numPr>
          <w:ilvl w:val="0"/>
          <w:numId w:val="1008"/>
        </w:numPr>
      </w:pPr>
      <w:hyperlink r:id="rId24">
        <w:r>
          <w:rPr>
            <w:rStyle w:val="Hyperlink"/>
          </w:rPr>
          <w:t xml:space="preserve">Chapter 4: Deterministic Governance</w:t>
        </w:r>
      </w:hyperlink>
    </w:p>
    <w:p>
      <w:pPr>
        <w:pStyle w:val="Compact"/>
        <w:numPr>
          <w:ilvl w:val="0"/>
          <w:numId w:val="1008"/>
        </w:numPr>
      </w:pPr>
      <w:r>
        <w:t xml:space="preserve">Architecture Series — Evidence Chain</w:t>
      </w:r>
    </w:p>
    <w:p>
      <w:pPr>
        <w:pStyle w:val="Compact"/>
        <w:numPr>
          <w:ilvl w:val="0"/>
          <w:numId w:val="1008"/>
        </w:numPr>
      </w:pPr>
      <w:r>
        <w:t xml:space="preserve">Provenance Profile (canon)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hyperlink" Id="rId24" Target="../ch04-deterministic-governance/index.md" TargetMode="External" /><Relationship Type="http://schemas.openxmlformats.org/officeDocument/2006/relationships/hyperlink" Id="rId21" Target="../ch07-operational-tempo/index.md" TargetMode="External" /><Relationship Type="http://schemas.openxmlformats.org/officeDocument/2006/relationships/hyperlink" Id="rId23" Target="../index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../ch04-deterministic-governance/index.md" TargetMode="External" /><Relationship Type="http://schemas.openxmlformats.org/officeDocument/2006/relationships/hyperlink" Id="rId21" Target="../ch07-operational-tempo/index.md" TargetMode="External" /><Relationship Type="http://schemas.openxmlformats.org/officeDocument/2006/relationships/hyperlink" Id="rId23" Target="../index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6: Evidence over Attestation</dc:title>
  <dc:creator/>
  <cp:keywords/>
  <dcterms:created xsi:type="dcterms:W3CDTF">2026-10-19T10:10:39Z</dcterms:created>
  <dcterms:modified xsi:type="dcterms:W3CDTF">2026-10-19T10:10:39Z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biblio-config">
    <vt:lpwstr>True</vt:lpwstr>
  </property>
  <property fmtid="{D5CDD505-2E9C-101B-9397-08002B2CF9AE}" pid="4" name="canon-reference">
    <vt:lpwstr/>
  </property>
  <property fmtid="{D5CDD505-2E9C-101B-9397-08002B2CF9AE}" pid="5" name="canon-source">
    <vt:lpwstr>docs/docs/15_ProvenanceProfile.qmd</vt:lpwstr>
  </property>
  <property fmtid="{D5CDD505-2E9C-101B-9397-08002B2CF9AE}" pid="6" name="created-at">
    <vt:lpwstr>2026-04-26</vt:lpwstr>
  </property>
  <property fmtid="{D5CDD505-2E9C-101B-9397-08002B2CF9AE}" pid="7" name="doc-type">
    <vt:lpwstr>executive-governance-chapter</vt:lpwstr>
  </property>
  <property fmtid="{D5CDD505-2E9C-101B-9397-08002B2CF9AE}" pid="8" name="family">
    <vt:lpwstr>executive-governance-series</vt:lpwstr>
  </property>
  <property fmtid="{D5CDD505-2E9C-101B-9397-08002B2CF9AE}" pid="9" name="header-includes">
    <vt:lpwstr/>
  </property>
  <property fmtid="{D5CDD505-2E9C-101B-9397-08002B2CF9AE}" pid="10" name="include-after">
    <vt:lpwstr/>
  </property>
  <property fmtid="{D5CDD505-2E9C-101B-9397-08002B2CF9AE}" pid="11" name="include-before">
    <vt:lpwstr/>
  </property>
  <property fmtid="{D5CDD505-2E9C-101B-9397-08002B2CF9AE}" pid="12" name="labels">
    <vt:lpwstr/>
  </property>
  <property fmtid="{D5CDD505-2E9C-101B-9397-08002B2CF9AE}" pid="13" name="lifecycle">
    <vt:lpwstr>adopted</vt:lpwstr>
  </property>
  <property fmtid="{D5CDD505-2E9C-101B-9397-08002B2CF9AE}" pid="14" name="lifecycle_review">
    <vt:lpwstr>2026-11-22</vt:lpwstr>
  </property>
  <property fmtid="{D5CDD505-2E9C-101B-9397-08002B2CF9AE}" pid="15" name="repo-path">
    <vt:lpwstr>docs/customer-documents/executive-governance-series/ch06-evidence-over-attestation</vt:lpwstr>
  </property>
  <property fmtid="{D5CDD505-2E9C-101B-9397-08002B2CF9AE}" pid="16" name="series-order">
    <vt:lpwstr>6</vt:lpwstr>
  </property>
  <property fmtid="{D5CDD505-2E9C-101B-9397-08002B2CF9AE}" pid="17" name="status">
    <vt:lpwstr>Active</vt:lpwstr>
  </property>
  <property fmtid="{D5CDD505-2E9C-101B-9397-08002B2CF9AE}" pid="18" name="subtitle">
    <vt:lpwstr>Executive Governance Series</vt:lpwstr>
  </property>
  <property fmtid="{D5CDD505-2E9C-101B-9397-08002B2CF9AE}" pid="19" name="tiers_adopted">
    <vt:lpwstr/>
  </property>
  <property fmtid="{D5CDD505-2E9C-101B-9397-08002B2CF9AE}" pid="20" name="toc-title">
    <vt:lpwstr>Table of contents</vt:lpwstr>
  </property>
  <property fmtid="{D5CDD505-2E9C-101B-9397-08002B2CF9AE}" pid="21" name="updated-at">
    <vt:lpwstr>2026-05-10</vt:lpwstr>
  </property>
</Properties>
</file>