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8: Governance at Scale</w:t>
      </w:r>
    </w:p>
    <w:p>
      <w:pPr>
        <w:pStyle w:val="Subtitle"/>
      </w:pPr>
      <w:r>
        <w:t xml:space="preserve">Executive Governance Series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8" w:name="governance-at-scale"/>
    <w:p>
      <w:pPr>
        <w:pStyle w:val="Heading1"/>
      </w:pPr>
      <w:r>
        <w:t xml:space="preserve">Governance at Scale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Substrate-level governance has to scale across hundreds of adapters,</w:t>
            </w:r>
            <w:r>
              <w:t xml:space="preserve"> </w:t>
            </w:r>
            <w:r>
              <w:t xml:space="preserve">thousands of controls, multiple authorization boundaries, and many</w:t>
            </w:r>
            <w:r>
              <w:t xml:space="preserve"> </w:t>
            </w:r>
            <w:r>
              <w:t xml:space="preserve">concurrent modernization programs without devolving into per-program</w:t>
            </w:r>
            <w:r>
              <w:t xml:space="preserve"> </w:t>
            </w:r>
            <w:r>
              <w:t xml:space="preserve">exceptions. This chapter explains how the Federal Modernization Program’s substrate scales — what</w:t>
            </w:r>
            <w:r>
              <w:t xml:space="preserve"> </w:t>
            </w:r>
            <w:r>
              <w:t xml:space="preserve">it deliberately keeps small, what it lets grow, and why the scaling</w:t>
            </w:r>
            <w:r>
              <w:t xml:space="preserve"> </w:t>
            </w:r>
            <w:r>
              <w:t xml:space="preserve">properties are structural rather than operational.</w:t>
            </w:r>
          </w:p>
          <w:p/>
        </w:tc>
      </w:tr>
    </w:tbl>
    <w:bookmarkStart w:id="12" w:name="what-stays-small"/>
    <w:p>
      <w:pPr>
        <w:pStyle w:val="Heading2"/>
      </w:pPr>
      <w:r>
        <w:t xml:space="preserve">What stays small</w:t>
      </w:r>
    </w:p>
    <w:p>
      <w:pPr>
        <w:pStyle w:val="FirstParagraph"/>
      </w:pPr>
      <w:r>
        <w:t xml:space="preserve">Three substrate properties are deliberately kept small at scale: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Canon.</w:t>
      </w:r>
      <w:r>
        <w:t xml:space="preserve"> </w:t>
      </w:r>
      <w:r>
        <w:t xml:space="preserve">The canonical document set is small — schemas, ADRs,</w:t>
      </w:r>
      <w:r>
        <w:t xml:space="preserve"> </w:t>
      </w:r>
      <w:r>
        <w:t xml:space="preserve">numbered governance documents under</w:t>
      </w:r>
      <w:r>
        <w:t xml:space="preserve"> </w:t>
      </w:r>
      <w:r>
        <w:rPr>
          <w:rStyle w:val="VerbatimChar"/>
        </w:rPr>
        <w:t xml:space="preserve">src/fmp/canon/</w:t>
      </w:r>
      <w:r>
        <w:t xml:space="preserve">. Adding a</w:t>
      </w:r>
      <w:r>
        <w:t xml:space="preserve"> </w:t>
      </w:r>
      <w:r>
        <w:t xml:space="preserve">document requires a FMP_NNN allocation and (for doctrinal</w:t>
      </w:r>
      <w:r>
        <w:t xml:space="preserve"> </w:t>
      </w:r>
      <w:r>
        <w:t xml:space="preserve">changes) an ADR. The substrate is designed so canon does not</w:t>
      </w:r>
      <w:r>
        <w:t xml:space="preserve"> </w:t>
      </w:r>
      <w:r>
        <w:t xml:space="preserve">linearly inflate with the program.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drift taxonomy.</w:t>
      </w:r>
      <w:r>
        <w:t xml:space="preserve"> </w:t>
      </w:r>
      <w:r>
        <w:t xml:space="preserve">Five classes, not fifty. Severity is four</w:t>
      </w:r>
      <w:r>
        <w:t xml:space="preserve"> </w:t>
      </w:r>
      <w:r>
        <w:t xml:space="preserve">levels, not twelve. Adding a class would require an ADR and</w:t>
      </w:r>
      <w:r>
        <w:t xml:space="preserve"> </w:t>
      </w:r>
      <w:r>
        <w:t xml:space="preserve">substrate-wide schema migration.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CLI surface.</w:t>
      </w:r>
      <w:r>
        <w:t xml:space="preserve"> </w:t>
      </w:r>
      <w:r>
        <w:t xml:space="preserve">Sub-app structure (per the program decision) means new</w:t>
      </w:r>
      <w:r>
        <w:t xml:space="preserve"> </w:t>
      </w:r>
      <w:r>
        <w:t xml:space="preserve">commands live under existing domains; no flat top-level commands.</w:t>
      </w:r>
      <w:r>
        <w:t xml:space="preserve"> </w:t>
      </w:r>
      <w:r>
        <w:t xml:space="preserve">The CLI’s shape is invariant under feature growth.</w:t>
      </w:r>
    </w:p>
    <w:p>
      <w:pPr>
        <w:pStyle w:val="FirstParagraph"/>
      </w:pPr>
      <w:r>
        <w:t xml:space="preserve">These three are the substrate’s stability anchors.</w:t>
      </w:r>
    </w:p>
    <w:bookmarkEnd w:id="12"/>
    <w:bookmarkStart w:id="13" w:name="what-is-allowed-to-grow"/>
    <w:p>
      <w:pPr>
        <w:pStyle w:val="Heading2"/>
      </w:pPr>
      <w:r>
        <w:t xml:space="preserve">What is allowed to grow</w:t>
      </w:r>
    </w:p>
    <w:p>
      <w:pPr>
        <w:pStyle w:val="FirstParagraph"/>
      </w:pPr>
      <w:r>
        <w:t xml:space="preserve">Three substrate properties are designed to grow: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Adapters.</w:t>
      </w:r>
      <w:r>
        <w:t xml:space="preserve"> </w:t>
      </w:r>
      <w:r>
        <w:t xml:space="preserve">New adapters land in</w:t>
      </w:r>
      <w:r>
        <w:t xml:space="preserve"> </w:t>
      </w:r>
      <w:r>
        <w:rPr>
          <w:rStyle w:val="VerbatimChar"/>
        </w:rPr>
        <w:t xml:space="preserve">adapter-registry.yaml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modernization-registry.yaml</w:t>
      </w:r>
      <w:r>
        <w:t xml:space="preserve"> </w:t>
      </w:r>
      <w:r>
        <w:t xml:space="preserve">with schema validation. The</w:t>
      </w:r>
      <w:r>
        <w:t xml:space="preserve"> </w:t>
      </w:r>
      <w:r>
        <w:t xml:space="preserve">registries are append-only at the structural level (retirement is</w:t>
      </w:r>
      <w:r>
        <w:t xml:space="preserve"> </w:t>
      </w:r>
      <w:r>
        <w:t xml:space="preserve">a state, not a deletion).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Policy mappings.</w:t>
      </w:r>
      <w:r>
        <w:t xml:space="preserve"> </w:t>
      </w:r>
      <w:r>
        <w:t xml:space="preserve">KSI mappings, control-to-rule bindings,</w:t>
      </w:r>
      <w:r>
        <w:t xml:space="preserve"> </w:t>
      </w:r>
      <w:r>
        <w:t xml:space="preserve">adapter-to-mission-class declarations grow with the substrate’s</w:t>
      </w:r>
      <w:r>
        <w:t xml:space="preserve"> </w:t>
      </w:r>
      <w:r>
        <w:t xml:space="preserve">coverage of an agency’s tool stack.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Evidence emissions.</w:t>
      </w:r>
      <w:r>
        <w:t xml:space="preserve"> </w:t>
      </w:r>
      <w:r>
        <w:t xml:space="preserve">OSCAL artifacts, KSI dashboard entries,</w:t>
      </w:r>
      <w:r>
        <w:t xml:space="preserve"> </w:t>
      </w:r>
      <w:r>
        <w:t xml:space="preserve">Component Definitions, drift findings — these grow continuously as</w:t>
      </w:r>
      <w:r>
        <w:t xml:space="preserve"> </w:t>
      </w:r>
      <w:r>
        <w:t xml:space="preserve">the substrate runs.</w:t>
      </w:r>
    </w:p>
    <w:p>
      <w:pPr>
        <w:pStyle w:val="FirstParagraph"/>
      </w:pPr>
      <w:r>
        <w:t xml:space="preserve">Growth is structural: each new entry conforms to the canonical schema,</w:t>
      </w:r>
      <w:r>
        <w:t xml:space="preserve"> </w:t>
      </w:r>
      <w:r>
        <w:t xml:space="preserve">is validated in CI, and inherits the substrate’s invariants</w:t>
      </w:r>
      <w:r>
        <w:t xml:space="preserve"> </w:t>
      </w:r>
      <w:r>
        <w:t xml:space="preserve">automatically.</w:t>
      </w:r>
    </w:p>
    <w:p>
      <w:pPr>
        <w:pStyle w:val="BodyText"/>
      </w:pPr>
      <w:r>
        <w:rPr>
          <w:b/>
          <w:bCs/>
        </w:rPr>
        <w:t xml:space="preserve">At a glance — what the substrate holds small vs lets grow: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Held small (stability anchors)</w:t>
            </w:r>
          </w:p>
        </w:tc>
        <w:tc>
          <w:tcPr/>
          <w:p>
            <w:pPr>
              <w:pStyle w:val="Compact"/>
            </w:pPr>
            <w:r>
              <w:t xml:space="preserve">Allowed to grow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 (schemas, ADRs, numbered docs)</w:t>
            </w:r>
          </w:p>
        </w:tc>
        <w:tc>
          <w:tcPr/>
          <w:p>
            <w:pPr>
              <w:pStyle w:val="Compact"/>
            </w:pPr>
            <w:r>
              <w:t xml:space="preserve">Adapters (append-only registries)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drift taxonomy (5 classes, 4 severities)</w:t>
            </w:r>
          </w:p>
        </w:tc>
        <w:tc>
          <w:tcPr/>
          <w:p>
            <w:pPr>
              <w:pStyle w:val="Compact"/>
            </w:pPr>
            <w:r>
              <w:t xml:space="preserve">Policy mappings (KSI, control-to-rule bindings)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CLI surface (sub-app structure, the program decision)</w:t>
            </w:r>
          </w:p>
        </w:tc>
        <w:tc>
          <w:tcPr/>
          <w:p>
            <w:pPr>
              <w:pStyle w:val="Compact"/>
            </w:pPr>
            <w:r>
              <w:t xml:space="preserve">Evidence emissions (OSCAL, KSI, drift findings)</w:t>
            </w:r>
          </w:p>
        </w:tc>
      </w:tr>
    </w:tbl>
    <w:bookmarkEnd w:id="13"/>
    <w:bookmarkStart w:id="14" w:name="how-the-consolidation-supports-scale"/>
    <w:p>
      <w:pPr>
        <w:pStyle w:val="Heading2"/>
      </w:pPr>
      <w:r>
        <w:t xml:space="preserve">How the consolidation supports scale</w:t>
      </w:r>
    </w:p>
    <w:p>
      <w:pPr>
        <w:pStyle w:val="FirstParagraph"/>
      </w:pPr>
      <w:r>
        <w:t xml:space="preserve">Per the program decision</w:t>
      </w:r>
      <w:r>
        <w:t xml:space="preserve"> </w:t>
      </w:r>
      <w:r>
        <w:t xml:space="preserve">and the program decision,</w:t>
      </w:r>
      <w:r>
        <w:t xml:space="preserve"> </w:t>
      </w:r>
      <w:r>
        <w:t xml:space="preserve">the substrate consolidated four predecessor repos into a single</w:t>
      </w:r>
      <w:r>
        <w:t xml:space="preserve"> </w:t>
      </w:r>
      <w:r>
        <w:t xml:space="preserve">monorepo with a single installable Python package. The consolidation</w:t>
      </w:r>
      <w:r>
        <w:t xml:space="preserve"> </w:t>
      </w:r>
      <w:r>
        <w:t xml:space="preserve">matters for scale because it eliminates a class of substrate-level</w:t>
      </w:r>
      <w:r>
        <w:t xml:space="preserve"> </w:t>
      </w:r>
      <w:r>
        <w:t xml:space="preserve">drift that no individual program could solve: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 cross-repo version skew.</w:t>
      </w:r>
      <w:r>
        <w:t xml:space="preserve"> </w:t>
      </w:r>
      <w:r>
        <w:t xml:space="preserve">Canon, schemas, runtime, and tests</w:t>
      </w:r>
      <w:r>
        <w:t xml:space="preserve"> </w:t>
      </w:r>
      <w:r>
        <w:t xml:space="preserve">ship together. There is no scenario where canon advances and</w:t>
      </w:r>
      <w:r>
        <w:t xml:space="preserve"> </w:t>
      </w:r>
      <w:r>
        <w:t xml:space="preserve">runtime lags.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Single import root.</w:t>
      </w:r>
      <w:r>
        <w:t xml:space="preserve"> </w:t>
      </w:r>
      <w:r>
        <w:t xml:space="preserve">Code reads canon via</w:t>
      </w:r>
      <w:r>
        <w:t xml:space="preserve"> </w:t>
      </w:r>
      <w:r>
        <w:rPr>
          <w:rStyle w:val="VerbatimChar"/>
        </w:rPr>
        <w:t xml:space="preserve">importlib.resources.files("fmp.canon")</w:t>
      </w:r>
      <w:r>
        <w:t xml:space="preserve">; no sibling-checkout</w:t>
      </w:r>
      <w:r>
        <w:t xml:space="preserve"> </w:t>
      </w:r>
      <w:r>
        <w:t xml:space="preserve">fallbacks, no per-program path manipulation.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One CI surface.</w:t>
      </w:r>
      <w:r>
        <w:t xml:space="preserve"> </w:t>
      </w:r>
      <w:r>
        <w:t xml:space="preserve">Schema validation, drift detection, adapter</w:t>
      </w:r>
      <w:r>
        <w:t xml:space="preserve"> </w:t>
      </w:r>
      <w:r>
        <w:t xml:space="preserve">conformance, and tests all run on the same merge gate. Adding an</w:t>
      </w:r>
      <w:r>
        <w:t xml:space="preserve"> </w:t>
      </w:r>
      <w:r>
        <w:t xml:space="preserve">adapter does not require setting up a new CI pipeline.</w:t>
      </w:r>
    </w:p>
    <w:p>
      <w:pPr>
        <w:pStyle w:val="FirstParagraph"/>
      </w:pPr>
      <w:r>
        <w:t xml:space="preserve">The consolidation is</w:t>
      </w:r>
      <w:r>
        <w:t xml:space="preserve"> </w:t>
      </w:r>
      <w:r>
        <w:rPr>
          <w:i/>
          <w:iCs/>
        </w:rPr>
        <w:t xml:space="preserve">what makes scale tractable</w:t>
      </w:r>
      <w:r>
        <w:t xml:space="preserve"> </w:t>
      </w:r>
      <w:r>
        <w:t xml:space="preserve">— without it, every</w:t>
      </w:r>
      <w:r>
        <w:t xml:space="preserve"> </w:t>
      </w:r>
      <w:r>
        <w:t xml:space="preserve">new program would have its own integration headaches.</w:t>
      </w:r>
    </w:p>
    <w:bookmarkEnd w:id="14"/>
    <w:bookmarkStart w:id="15" w:name="multi-program-scaling"/>
    <w:p>
      <w:pPr>
        <w:pStyle w:val="Heading2"/>
      </w:pPr>
      <w:r>
        <w:t xml:space="preserve">Multi-program scaling</w:t>
      </w:r>
    </w:p>
    <w:p>
      <w:pPr>
        <w:pStyle w:val="FirstParagraph"/>
      </w:pPr>
      <w:r>
        <w:t xml:space="preserve">A substrate hosting many concurrent agency programs scales by: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Per-program canon under shared schemas.</w:t>
      </w:r>
      <w:r>
        <w:t xml:space="preserve"> </w:t>
      </w:r>
      <w:r>
        <w:t xml:space="preserve">Each program’s</w:t>
      </w:r>
      <w:r>
        <w:t xml:space="preserve"> </w:t>
      </w:r>
      <w:r>
        <w:t xml:space="preserve">artifacts live under canonical layouts; the substrate’s schemas</w:t>
      </w:r>
      <w:r>
        <w:t xml:space="preserve"> </w:t>
      </w:r>
      <w:r>
        <w:t xml:space="preserve">validate them uniformly.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Per-program adapter registration.</w:t>
      </w:r>
      <w:r>
        <w:t xml:space="preserve"> </w:t>
      </w:r>
      <w:r>
        <w:t xml:space="preserve">New adapters declare their</w:t>
      </w:r>
      <w:r>
        <w:t xml:space="preserve"> </w:t>
      </w:r>
      <w:r>
        <w:rPr>
          <w:rStyle w:val="VerbatimChar"/>
        </w:rPr>
        <w:t xml:space="preserve">class × mission-class</w:t>
      </w:r>
      <w:r>
        <w:t xml:space="preserve"> </w:t>
      </w:r>
      <w:r>
        <w:t xml:space="preserve">and inherit the canon invariants. The</w:t>
      </w:r>
      <w:r>
        <w:t xml:space="preserve"> </w:t>
      </w:r>
      <w:r>
        <w:t xml:space="preserve">substrate enforces consistency without per-program negotiation.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Per-program drift findings.</w:t>
      </w:r>
      <w:r>
        <w:t xml:space="preserve"> </w:t>
      </w:r>
      <w:r>
        <w:t xml:space="preserve">Findings are scoped per program but</w:t>
      </w:r>
      <w:r>
        <w:t xml:space="preserve"> </w:t>
      </w:r>
      <w:r>
        <w:t xml:space="preserve">emitted into the same canonical taxonomy. Cross-program drift</w:t>
      </w:r>
      <w:r>
        <w:t xml:space="preserve"> </w:t>
      </w:r>
      <w:r>
        <w:t xml:space="preserve">trends are observable without unifying the program teams.</w:t>
      </w:r>
    </w:p>
    <w:p>
      <w:pPr>
        <w:pStyle w:val="BlockText"/>
      </w:pPr>
      <w:r>
        <w:rPr>
          <w:b/>
          <w:bCs/>
        </w:rPr>
        <w:t xml:space="preserve">Three programs, three programs’ worth of evidence — but one</w:t>
      </w:r>
      <w:r>
        <w:rPr>
          <w:b/>
          <w:bCs/>
        </w:rPr>
        <w:t xml:space="preserve"> </w:t>
      </w:r>
      <w:r>
        <w:rPr>
          <w:b/>
          <w:bCs/>
        </w:rPr>
        <w:t xml:space="preserve">substrate, one taxonomy, one CI surface.</w:t>
      </w:r>
    </w:p>
    <w:bookmarkEnd w:id="15"/>
    <w:bookmarkStart w:id="17" w:name="the-boundary-multiplicity-problem"/>
    <w:p>
      <w:pPr>
        <w:pStyle w:val="Heading2"/>
      </w:pPr>
      <w:r>
        <w:t xml:space="preserve">The boundary multiplicity problem</w:t>
      </w:r>
    </w:p>
    <w:p>
      <w:pPr>
        <w:pStyle w:val="FirstParagraph"/>
      </w:pPr>
      <w:r>
        <w:t xml:space="preserve">Federal agencies operate across multiple authorization boundaries:</w:t>
      </w:r>
      <w:r>
        <w:t xml:space="preserve"> </w:t>
      </w:r>
      <w:r>
        <w:t xml:space="preserve">GCC-Moderate (the substrate’s primary), the two named Commercial</w:t>
      </w:r>
      <w:r>
        <w:t xml:space="preserve"> </w:t>
      </w:r>
      <w:r>
        <w:t xml:space="preserve">exceptions per the program decision (Amazon Connect, SailPoint NERM), classified</w:t>
      </w:r>
      <w:r>
        <w:t xml:space="preserve"> </w:t>
      </w:r>
      <w:r>
        <w:t xml:space="preserve">boundaries, agency-to-agency federation. Each boundary impacts</w:t>
      </w:r>
      <w:r>
        <w:t xml:space="preserve"> </w:t>
      </w:r>
      <w:r>
        <w:t xml:space="preserve">telemetry, identity, enforcement, and provenance per the</w:t>
      </w:r>
      <w:r>
        <w:t xml:space="preserve"> </w:t>
      </w:r>
      <w:hyperlink r:id="rId16">
        <w:r>
          <w:rPr>
            <w:rStyle w:val="Hyperlink"/>
          </w:rPr>
          <w:t xml:space="preserve">Boundary Impact Model</w:t>
        </w:r>
      </w:hyperlink>
      <w:r>
        <w:t xml:space="preserve">.</w:t>
      </w:r>
    </w:p>
    <w:p>
      <w:pPr>
        <w:pStyle w:val="BodyText"/>
      </w:pPr>
      <w:r>
        <w:t xml:space="preserve">The substrate scales across boundaries by treating each as a</w:t>
      </w:r>
      <w:r>
        <w:t xml:space="preserve"> </w:t>
      </w:r>
      <w:r>
        <w:rPr>
          <w:b/>
          <w:bCs/>
        </w:rPr>
        <w:t xml:space="preserve">first-class canonical object</w:t>
      </w:r>
      <w:r>
        <w:t xml:space="preserve"> </w:t>
      </w:r>
      <w:r>
        <w:t xml:space="preserve">rather than as an implicit</w:t>
      </w:r>
      <w:r>
        <w:t xml:space="preserve"> </w:t>
      </w:r>
      <w:r>
        <w:t xml:space="preserve">assumption. Boundaries appear in: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Adapter declarations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gcc-boundary</w:t>
      </w:r>
      <w:r>
        <w:t xml:space="preserve"> </w:t>
      </w:r>
      <w:r>
        <w:t xml:space="preserve">field).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Schema enums</w:t>
      </w:r>
      <w:r>
        <w:t xml:space="preserve"> </w:t>
      </w:r>
      <w:r>
        <w:t xml:space="preserve">(</w:t>
      </w:r>
      <w:r>
        <w:rPr>
          <w:rStyle w:val="VerbatimChar"/>
        </w:rPr>
        <w:t xml:space="preserve">gcc-boundary</w:t>
      </w:r>
      <w:r>
        <w:t xml:space="preserve"> </w:t>
      </w:r>
      <w:r>
        <w:t xml:space="preserve">schema; new exceptions are encoded</w:t>
      </w:r>
      <w:r>
        <w:t xml:space="preserve"> </w:t>
      </w:r>
      <w:r>
        <w:t xml:space="preserve">as discrete enum values added in lockstep with their authorizing</w:t>
      </w:r>
      <w:r>
        <w:t xml:space="preserve"> </w:t>
      </w:r>
      <w:r>
        <w:t xml:space="preserve">ADR).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Drift findings</w:t>
      </w:r>
      <w:r>
        <w:t xml:space="preserve"> </w:t>
      </w:r>
      <w:r>
        <w:t xml:space="preserve">(boundary-scoped: e.g.</w:t>
      </w:r>
      <w:r>
        <w:t xml:space="preserve"> </w:t>
      </w:r>
      <w:r>
        <w:rPr>
          <w:rStyle w:val="VerbatimChar"/>
        </w:rPr>
        <w:t xml:space="preserve">DRIFT-PROVENANCE @ gcc-moderate-edge</w:t>
      </w:r>
      <w:r>
        <w:t xml:space="preserve">).</w:t>
      </w:r>
    </w:p>
    <w:p>
      <w:pPr>
        <w:pStyle w:val="FirstParagraph"/>
      </w:pPr>
      <w:r>
        <w:t xml:space="preserve">Adding a new boundary is a substrate transition, not a runtime</w:t>
      </w:r>
      <w:r>
        <w:t xml:space="preserve"> </w:t>
      </w:r>
      <w:r>
        <w:t xml:space="preserve">flag — and it ships with its authorizing ADR.</w:t>
      </w:r>
    </w:p>
    <w:bookmarkEnd w:id="17"/>
    <w:bookmarkStart w:id="18" w:name="what-does-not-scale-automatically"/>
    <w:p>
      <w:pPr>
        <w:pStyle w:val="Heading2"/>
      </w:pPr>
      <w:r>
        <w:t xml:space="preserve">What does not scale automatically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Canon authoring.</w:t>
      </w:r>
      <w:r>
        <w:t xml:space="preserve"> </w:t>
      </w:r>
      <w:r>
        <w:t xml:space="preserve">Authoring quality canon is human work. The</w:t>
      </w:r>
      <w:r>
        <w:t xml:space="preserve"> </w:t>
      </w:r>
      <w:r>
        <w:t xml:space="preserve">substrate scales the</w:t>
      </w:r>
      <w:r>
        <w:t xml:space="preserve"> </w:t>
      </w:r>
      <w:r>
        <w:rPr>
          <w:i/>
          <w:iCs/>
        </w:rPr>
        <w:t xml:space="preserve">consumption</w:t>
      </w:r>
      <w:r>
        <w:t xml:space="preserve"> </w:t>
      </w:r>
      <w:r>
        <w:t xml:space="preserve">of canon, not its</w:t>
      </w:r>
      <w:r>
        <w:t xml:space="preserve"> </w:t>
      </w:r>
      <w:r>
        <w:rPr>
          <w:i/>
          <w:iCs/>
        </w:rPr>
        <w:t xml:space="preserve">production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Adapter implementation.</w:t>
      </w:r>
      <w:r>
        <w:t xml:space="preserve"> </w:t>
      </w:r>
      <w:r>
        <w:t xml:space="preserve">Each new tool requires an adapter; the</w:t>
      </w:r>
      <w:r>
        <w:t xml:space="preserve"> </w:t>
      </w:r>
      <w:r>
        <w:t xml:space="preserve">substrate provides the contract, but vendors and agencies provide</w:t>
      </w:r>
      <w:r>
        <w:t xml:space="preserve"> </w:t>
      </w:r>
      <w:r>
        <w:t xml:space="preserve">the per-tool code.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Cross-program human review.</w:t>
      </w:r>
      <w:r>
        <w:t xml:space="preserve"> </w:t>
      </w:r>
      <w:r>
        <w:t xml:space="preserve">Canon-change ADRs scale by</w:t>
      </w:r>
      <w:r>
        <w:t xml:space="preserve"> </w:t>
      </w:r>
      <w:r>
        <w:t xml:space="preserve">governance discipline, not by tooling.</w:t>
      </w:r>
    </w:p>
    <w:p>
      <w:pPr>
        <w:pStyle w:val="FirstParagraph"/>
      </w:pPr>
      <w:r>
        <w:t xml:space="preserve">Substrate scaling reduces these to their irreducible humans-in-the-</w:t>
      </w:r>
      <w:r>
        <w:t xml:space="preserve"> </w:t>
      </w:r>
      <w:r>
        <w:t xml:space="preserve">loop — and removes everything else.</w:t>
      </w:r>
    </w:p>
    <w:bookmarkEnd w:id="18"/>
    <w:bookmarkStart w:id="19" w:name="honest-limits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07"/>
        </w:numPr>
      </w:pPr>
      <w:r>
        <w:t xml:space="preserve">The runtime detection surface is partial today (schema/provenance</w:t>
      </w:r>
      <w:r>
        <w:t xml:space="preserve"> </w:t>
      </w:r>
      <w:r>
        <w:t xml:space="preserve">via CI; semantic/authz/identity via adapter implementation).</w:t>
      </w:r>
      <w:r>
        <w:t xml:space="preserve"> </w:t>
      </w:r>
      <w:r>
        <w:t xml:space="preserve">Coverage is growing.</w:t>
      </w:r>
    </w:p>
    <w:p>
      <w:pPr>
        <w:pStyle w:val="Compact"/>
        <w:numPr>
          <w:ilvl w:val="0"/>
          <w:numId w:val="1007"/>
        </w:numPr>
      </w:pPr>
      <w:r>
        <w:t xml:space="preserve">The substrate does not eliminate the engineering work of new</w:t>
      </w:r>
      <w:r>
        <w:t xml:space="preserve"> </w:t>
      </w:r>
      <w:r>
        <w:t xml:space="preserve">adapters; it provides the contract that makes the engineering</w:t>
      </w:r>
      <w:r>
        <w:t xml:space="preserve"> </w:t>
      </w:r>
      <w:r>
        <w:t xml:space="preserve">consistent.</w:t>
      </w:r>
    </w:p>
    <w:p>
      <w:pPr>
        <w:pStyle w:val="Compact"/>
        <w:numPr>
          <w:ilvl w:val="0"/>
          <w:numId w:val="1007"/>
        </w:numPr>
      </w:pPr>
      <w:r>
        <w:t xml:space="preserve">Cross-agency federation is a structural extension, not a current</w:t>
      </w:r>
      <w:r>
        <w:t xml:space="preserve"> </w:t>
      </w:r>
      <w:r>
        <w:t xml:space="preserve">feature. Federation patterns are present in canon (ADRs reference</w:t>
      </w:r>
      <w:r>
        <w:t xml:space="preserve"> </w:t>
      </w:r>
      <w:r>
        <w:t xml:space="preserve">federation explicitly) but the runtime federation substrate is</w:t>
      </w:r>
      <w:r>
        <w:t xml:space="preserve"> </w:t>
      </w:r>
      <w:r>
        <w:t xml:space="preserve">ahead.</w:t>
      </w:r>
    </w:p>
    <w:bookmarkEnd w:id="19"/>
    <w:bookmarkStart w:id="24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8"/>
        </w:numPr>
      </w:pPr>
      <w:r>
        <w:t xml:space="preserve">Scaling holds canon small while letting adapters and mappings grow.</w:t>
      </w:r>
    </w:p>
    <w:p>
      <w:pPr>
        <w:pStyle w:val="Compact"/>
        <w:numPr>
          <w:ilvl w:val="0"/>
          <w:numId w:val="1008"/>
        </w:numPr>
      </w:pPr>
      <w:r>
        <w:t xml:space="preserve">The monorepo consolidation eliminates substrate-level drift across</w:t>
      </w:r>
      <w:r>
        <w:t xml:space="preserve"> </w:t>
      </w:r>
      <w:r>
        <w:t xml:space="preserve">the canon/runtime boundary.</w:t>
      </w:r>
    </w:p>
    <w:p>
      <w:pPr>
        <w:pStyle w:val="Compact"/>
        <w:numPr>
          <w:ilvl w:val="0"/>
          <w:numId w:val="1008"/>
        </w:numPr>
      </w:pPr>
      <w:r>
        <w:t xml:space="preserve">Multi-program scaling reuses one substrate, one taxonomy, one CI</w:t>
      </w:r>
      <w:r>
        <w:t xml:space="preserve"> </w:t>
      </w:r>
      <w:r>
        <w:t xml:space="preserve">surface.</w:t>
      </w:r>
    </w:p>
    <w:p>
      <w:pPr>
        <w:pStyle w:val="Compact"/>
        <w:numPr>
          <w:ilvl w:val="0"/>
          <w:numId w:val="1008"/>
        </w:numPr>
      </w:pPr>
      <w:r>
        <w:t xml:space="preserve">Boundaries are first-class canonical objects, not implicit</w:t>
      </w:r>
      <w:r>
        <w:t xml:space="preserve"> </w:t>
      </w:r>
      <w:r>
        <w:t xml:space="preserve">assumptions.</w:t>
      </w:r>
    </w:p>
    <w:p>
      <w:pPr>
        <w:pStyle w:val="Compact"/>
        <w:numPr>
          <w:ilvl w:val="0"/>
          <w:numId w:val="1008"/>
        </w:numPr>
      </w:pPr>
      <w:r>
        <w:t xml:space="preserve">Honest limits remain around runtime coverage and federation.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End of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the final chapter. Return to the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series overview</w:t>
              </w:r>
            </w:hyperlink>
            <w:r>
              <w:t xml:space="preserve"> </w:t>
            </w:r>
            <w:r>
              <w:t xml:space="preserve">for the reading paths.</w:t>
            </w:r>
          </w:p>
          <w:p/>
        </w:tc>
      </w:tr>
    </w:tbl>
    <w:bookmarkEnd w:id="24"/>
    <w:bookmarkStart w:id="27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9"/>
        </w:numPr>
      </w:pPr>
      <w:hyperlink r:id="rId25">
        <w:r>
          <w:rPr>
            <w:rStyle w:val="Hyperlink"/>
          </w:rPr>
          <w:t xml:space="preserve">Executive Governance Series Index</w:t>
        </w:r>
      </w:hyperlink>
    </w:p>
    <w:p>
      <w:pPr>
        <w:pStyle w:val="Compact"/>
        <w:numPr>
          <w:ilvl w:val="0"/>
          <w:numId w:val="1009"/>
        </w:numPr>
      </w:pPr>
      <w:hyperlink r:id="rId26">
        <w:r>
          <w:rPr>
            <w:rStyle w:val="Hyperlink"/>
          </w:rPr>
          <w:t xml:space="preserve">Chapter 5: The Adapter Model</w:t>
        </w:r>
      </w:hyperlink>
    </w:p>
    <w:p>
      <w:pPr>
        <w:pStyle w:val="Compact"/>
        <w:numPr>
          <w:ilvl w:val="0"/>
          <w:numId w:val="1009"/>
        </w:numPr>
      </w:pPr>
      <w:r>
        <w:t xml:space="preserve">Substrate Manifest (canon)</w:t>
      </w:r>
    </w:p>
    <w:p>
      <w:pPr>
        <w:pStyle w:val="Compact"/>
        <w:numPr>
          <w:ilvl w:val="0"/>
          <w:numId w:val="1009"/>
        </w:numPr>
      </w:pPr>
      <w:r>
        <w:t xml:space="preserve">the program decision: Monorepo Consolidation</w:t>
      </w:r>
    </w:p>
    <w:p>
      <w:pPr>
        <w:pStyle w:val="Compact"/>
        <w:numPr>
          <w:ilvl w:val="0"/>
          <w:numId w:val="1009"/>
        </w:numPr>
      </w:pPr>
      <w:r>
        <w:t xml:space="preserve">the program decision: Single-Package Consolidation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hyperlink" Id="rId16" Target="../../architecture/boundary-impact-model.md" TargetMode="External" /><Relationship Type="http://schemas.openxmlformats.org/officeDocument/2006/relationships/hyperlink" Id="rId26" Target="../ch05-adapter-model/index.md" TargetMode="External" /><Relationship Type="http://schemas.openxmlformats.org/officeDocument/2006/relationships/hyperlink" Id="rId25" Target="../index.html" TargetMode="External" /><Relationship Type="http://schemas.openxmlformats.org/officeDocument/2006/relationships/hyperlink" Id="rId23" Target="../index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../../architecture/boundary-impact-model.md" TargetMode="External" /><Relationship Type="http://schemas.openxmlformats.org/officeDocument/2006/relationships/hyperlink" Id="rId26" Target="../ch05-adapter-model/index.md" TargetMode="External" /><Relationship Type="http://schemas.openxmlformats.org/officeDocument/2006/relationships/hyperlink" Id="rId25" Target="../index.html" TargetMode="External" /><Relationship Type="http://schemas.openxmlformats.org/officeDocument/2006/relationships/hyperlink" Id="rId23" Target="../index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8: Governance at Scale</dc:title>
  <dc:creator/>
  <cp:keywords/>
  <dcterms:created xsi:type="dcterms:W3CDTF">2026-10-19T10:10:39Z</dcterms:created>
  <dcterms:modified xsi:type="dcterms:W3CDTF">2026-10-19T10:10:39Z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src/fmp/canon/substrate-manifest.yaml</vt:lpwstr>
  </property>
  <property fmtid="{D5CDD505-2E9C-101B-9397-08002B2CF9AE}" pid="6" name="created-at">
    <vt:lpwstr>2026-04-26</vt:lpwstr>
  </property>
  <property fmtid="{D5CDD505-2E9C-101B-9397-08002B2CF9AE}" pid="7" name="doc-type">
    <vt:lpwstr>executive-governance-chapter</vt:lpwstr>
  </property>
  <property fmtid="{D5CDD505-2E9C-101B-9397-08002B2CF9AE}" pid="8" name="family">
    <vt:lpwstr>executive-governance-series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repo-path">
    <vt:lpwstr>docs/customer-documents/executive-governance-series/ch08-governance-at-scale</vt:lpwstr>
  </property>
  <property fmtid="{D5CDD505-2E9C-101B-9397-08002B2CF9AE}" pid="16" name="series-order">
    <vt:lpwstr>8</vt:lpwstr>
  </property>
  <property fmtid="{D5CDD505-2E9C-101B-9397-08002B2CF9AE}" pid="17" name="status">
    <vt:lpwstr>Active</vt:lpwstr>
  </property>
  <property fmtid="{D5CDD505-2E9C-101B-9397-08002B2CF9AE}" pid="18" name="subtitle">
    <vt:lpwstr>Executive Governance Series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2026-05-10</vt:lpwstr>
  </property>
</Properties>
</file>