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Executive Governance Series</w:t>
      </w:r>
    </w:p>
    <w:p>
      <w:pPr>
        <w:pStyle w:val="Subtitle"/>
      </w:pPr>
      <w:r>
        <w:t xml:space="preserve">Long-form governance narrative in eight chapters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5" w:name="executive-governance-series"/>
    <w:p>
      <w:pPr>
        <w:pStyle w:val="Heading1"/>
      </w:pPr>
      <w:r>
        <w:t xml:space="preserve">Executive Governance Series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full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executive-governance-series-bundle.docx</w:t>
              </w:r>
            </w:hyperlink>
            <w:r>
              <w:t xml:space="preserve"> </w:t>
            </w:r>
            <w:r>
              <w:t xml:space="preserve">— every page in this section concatenated into one Word document. Regenerated on every site deploy.</w:t>
            </w:r>
          </w:p>
          <w:p/>
        </w:tc>
      </w:tr>
    </w:tbl>
    <w:p>
      <w:pPr>
        <w:pStyle w:val="BodyText"/>
      </w:pPr>
      <w:r>
        <w:t xml:space="preserve">Book-length governance narrative written for authorizing officials and</w:t>
      </w:r>
      <w:r>
        <w:t xml:space="preserve"> </w:t>
      </w:r>
      <w:r>
        <w:t xml:space="preserve">program leadership. Each chapter is a standalone document with its own</w:t>
      </w:r>
      <w:r>
        <w:t xml:space="preserve"> </w:t>
      </w:r>
      <w:r>
        <w:t xml:space="preserve">directory; they can be read in sequence as a program primer or drawn on</w:t>
      </w:r>
      <w:r>
        <w:t xml:space="preserve"> </w:t>
      </w:r>
      <w:r>
        <w:t xml:space="preserve">individually as reference material.</w:t>
      </w:r>
    </w:p>
    <w:bookmarkStart w:id="13" w:name="chapters"/>
    <w:p>
      <w:pPr>
        <w:pStyle w:val="Heading2"/>
      </w:pPr>
      <w:r>
        <w:t xml:space="preserve">Chapters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Slug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ch01-why-governance-fails/</w:t>
            </w:r>
          </w:p>
        </w:tc>
        <w:tc>
          <w:tcPr/>
          <w:p>
            <w:pPr>
              <w:pStyle w:val="Compact"/>
            </w:pPr>
            <w:r>
              <w:t xml:space="preserve">The four structural failure modes of federal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ch02-compliance-paradox/</w:t>
            </w:r>
          </w:p>
        </w:tc>
        <w:tc>
          <w:tcPr/>
          <w:p>
            <w:pPr>
              <w:pStyle w:val="Compact"/>
            </w:pPr>
            <w:r>
              <w:t xml:space="preserve">Why compliance accumulates risk between audit cycles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ch03-drift-as-primary-threat/</w:t>
            </w:r>
          </w:p>
        </w:tc>
        <w:tc>
          <w:tcPr/>
          <w:p>
            <w:pPr>
              <w:pStyle w:val="Compact"/>
            </w:pPr>
            <w:r>
              <w:t xml:space="preserve">Drift as the substrate-level threat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ch04-deterministic-governance/</w:t>
            </w:r>
          </w:p>
        </w:tc>
        <w:tc>
          <w:tcPr/>
          <w:p>
            <w:pPr>
              <w:pStyle w:val="Compact"/>
            </w:pPr>
            <w:r>
              <w:t xml:space="preserve">Reproducible, hash-verifiable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ch05-adapter-model/</w:t>
            </w:r>
          </w:p>
        </w:tc>
        <w:tc>
          <w:tcPr/>
          <w:p>
            <w:pPr>
              <w:pStyle w:val="Compact"/>
            </w:pPr>
            <w:r>
              <w:t xml:space="preserve">Tool integration via the dual-axis taxonomy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ch06-evidence-over-attestation/</w:t>
            </w:r>
          </w:p>
        </w:tc>
        <w:tc>
          <w:tcPr/>
          <w:p>
            <w:pPr>
              <w:pStyle w:val="Compact"/>
            </w:pPr>
            <w:r>
              <w:t xml:space="preserve">Inverting which artifact is primary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ch07-operational-tempo/</w:t>
            </w:r>
          </w:p>
        </w:tc>
        <w:tc>
          <w:tcPr/>
          <w:p>
            <w:pPr>
              <w:pStyle w:val="Compact"/>
            </w:pPr>
            <w:r>
              <w:t xml:space="preserve">Cadence of detection, remediation, escalation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ch08-governance-at-scale/</w:t>
            </w:r>
          </w:p>
        </w:tc>
        <w:tc>
          <w:tcPr/>
          <w:p>
            <w:pPr>
              <w:pStyle w:val="Compact"/>
            </w:pPr>
            <w:r>
              <w:t xml:space="preserve">Scaling across adapters, programs, boundaries</w:t>
            </w:r>
          </w:p>
        </w:tc>
      </w:tr>
    </w:tbl>
    <w:bookmarkEnd w:id="13"/>
    <w:bookmarkStart w:id="14" w:name="reading-paths"/>
    <w:p>
      <w:pPr>
        <w:pStyle w:val="Heading2"/>
      </w:pPr>
      <w:r>
        <w:t xml:space="preserve">Reading paths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Program primer (full read):</w:t>
      </w:r>
      <w:r>
        <w:t xml:space="preserve"> </w:t>
      </w:r>
      <w:r>
        <w:t xml:space="preserve">chapters 1 → 8 in sequence.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Authorizing official:</w:t>
      </w:r>
      <w:r>
        <w:t xml:space="preserve"> </w:t>
      </w:r>
      <w:r>
        <w:t xml:space="preserve">chapters 4, 6 and 7, then 8.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Operations leadership:</w:t>
      </w:r>
      <w:r>
        <w:t xml:space="preserve"> </w:t>
      </w:r>
      <w:r>
        <w:t xml:space="preserve">chapter 7, then 3, 4, 5.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Architect:</w:t>
      </w:r>
      <w:r>
        <w:t xml:space="preserve"> </w:t>
      </w:r>
      <w:r>
        <w:t xml:space="preserve">the architecture-series first, then chapter 5 and 8.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../../downloads/executive-governance-series-bundle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../downloads/executive-governance-series-bundle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Governance Series</dc:title>
  <dc:creator/>
  <cp:keywords/>
  <dcterms:created xsi:type="dcterms:W3CDTF">2026-10-19T10:10:39Z</dcterms:created>
  <dcterms:modified xsi:type="dcterms:W3CDTF">2026-10-19T10:10:39Z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Authorizing officials · CIO · CISO · program leadership</vt:lpwstr>
  </property>
  <property fmtid="{D5CDD505-2E9C-101B-9397-08002B2CF9AE}" pid="4" name="biblio-config">
    <vt:lpwstr>True</vt:lpwstr>
  </property>
  <property fmtid="{D5CDD505-2E9C-101B-9397-08002B2CF9AE}" pid="5" name="canon-source">
    <vt:lpwstr>src/fmp/canon/</vt:lpwstr>
  </property>
  <property fmtid="{D5CDD505-2E9C-101B-9397-08002B2CF9AE}" pid="6" name="derived-from">
    <vt:lpwstr>fmp canon</vt:lpwstr>
  </property>
  <property fmtid="{D5CDD505-2E9C-101B-9397-08002B2CF9AE}" pid="7" name="doc-type">
    <vt:lpwstr>section-landing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lifecycle">
    <vt:lpwstr>adopted</vt:lpwstr>
  </property>
  <property fmtid="{D5CDD505-2E9C-101B-9397-08002B2CF9AE}" pid="13" name="lifecycle_review">
    <vt:lpwstr>2026-11-22</vt:lpwstr>
  </property>
  <property fmtid="{D5CDD505-2E9C-101B-9397-08002B2CF9AE}" pid="14" name="subtitle">
    <vt:lpwstr>Long-form governance narrative in eight chapters</vt:lpwstr>
  </property>
  <property fmtid="{D5CDD505-2E9C-101B-9397-08002B2CF9AE}" pid="15" name="tiers_adopted">
    <vt:lpwstr/>
  </property>
  <property fmtid="{D5CDD505-2E9C-101B-9397-08002B2CF9AE}" pid="16" name="toc-title">
    <vt:lpwstr>Table of contents</vt:lpwstr>
  </property>
</Properties>
</file>