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device-and-server-modernization"/>
    <w:p>
      <w:pPr>
        <w:pStyle w:val="Heading1"/>
      </w:pPr>
      <w:r>
        <w:t xml:space="preserve">Device and Server Modernization</w:t>
      </w:r>
    </w:p>
    <w:p>
      <w:pPr>
        <w:pStyle w:val="FirstParagraph"/>
      </w:pPr>
      <w:r>
        <w:rPr>
          <w:b/>
          <w:bCs/>
        </w:rPr>
        <w:t xml:space="preserve">Endpoint and server modernization on a hybrid Active Directory → cloud identity estate — runnable manually or under governed change control</w:t>
      </w:r>
    </w:p>
    <w:p>
      <w:pPr>
        <w:pStyle w:val="BodyText"/>
      </w:pPr>
      <w:r>
        <w:t xml:space="preserve">This guide modernizes a hybrid Active Directory estate onto device management (workstations) and hybrid management (servers), and closes out the identity work that rides alongside it — NTLM elimination, service principal name hygiene, SQL Server hardening, and a Conditional Access baseline.</w:t>
      </w:r>
    </w:p>
    <w:p>
      <w:pPr>
        <w:pStyle w:val="BodyText"/>
      </w:pPr>
      <w:r>
        <w:t xml:space="preserve">It is runnable two ways from the same technical steps: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manual path</w:t>
      </w:r>
      <w:r>
        <w:t xml:space="preserve"> </w:t>
      </w:r>
      <w:r>
        <w:t xml:space="preserve">— you preview each change and own the decision under local change control; and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governed path</w:t>
      </w:r>
      <w:r>
        <w:t xml:space="preserve"> </w:t>
      </w:r>
      <w:r>
        <w:t xml:space="preserve">— every change is bound to organizational attributes, an actuation rung, and a recorded approval.</w:t>
      </w:r>
    </w:p>
    <w:p>
      <w:pPr>
        <w:pStyle w:val="FirstParagraph"/>
      </w:pPr>
      <w:r>
        <w:t xml:space="preserve">If you build the manual path now and want governance later, you do not redo the work.</w:t>
      </w:r>
    </w:p>
    <w:bookmarkStart w:id="10" w:name="the-pages"/>
    <w:p>
      <w:pPr>
        <w:pStyle w:val="Heading2"/>
      </w:pPr>
      <w:r>
        <w:t xml:space="preserve">The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160"/>
        <w:gridCol w:w="57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Page</w:t>
            </w:r>
          </w:p>
        </w:tc>
        <w:tc>
          <w:tcPr/>
          <w:p>
            <w:pPr>
              <w:pStyle w:val="Compact"/>
            </w:pPr>
            <w:r>
              <w:t xml:space="preserve">What it covers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Manual path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end-to-end technical runbook with no governance control plane — hybrid management onboarding, device-management enrollment, NTLM/service principal name/SQL hardening, Conditional Access, monitoring, and rollback. Each operator owns the decision.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Governed path</w:t>
            </w:r>
          </w:p>
        </w:tc>
        <w:tc>
          <w:tcPr/>
          <w:p>
            <w:pPr>
              <w:pStyle w:val="Compact"/>
            </w:pPr>
            <w:r>
              <w:t xml:space="preserve">The same end state, bound to attribute-driven scoping, an actuation ladder, the drift-detection loop, and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Retrofit path</w:t>
            </w:r>
          </w:p>
        </w:tc>
        <w:tc>
          <w:tcPr/>
          <w:p>
            <w:pPr>
              <w:pStyle w:val="Compact"/>
            </w:pPr>
            <w:r>
              <w:t xml:space="preserve">For estates already built the manual way: how to layer attribute-driven governance on top without re-doing the device-management and hybrid-management work.</w:t>
            </w:r>
          </w:p>
        </w:tc>
      </w:tr>
    </w:tbl>
    <w:bookmarkEnd w:id="10"/>
    <w:bookmarkStart w:id="11" w:name="how-the-two-paths-relate"/>
    <w:p>
      <w:pPr>
        <w:pStyle w:val="Heading2"/>
      </w:pPr>
      <w:r>
        <w:t xml:space="preserve">How the two paths relate</w:t>
      </w:r>
    </w:p>
    <w:p>
      <w:pPr>
        <w:pStyle w:val="FirstParagraph"/>
      </w:pPr>
      <w:r>
        <w:t xml:space="preserve">The manual path and the governed path produce the</w:t>
      </w:r>
      <w:r>
        <w:t xml:space="preserve"> </w:t>
      </w:r>
      <w:r>
        <w:rPr>
          <w:b/>
          <w:bCs/>
        </w:rPr>
        <w:t xml:space="preserve">same configuration</w:t>
      </w:r>
      <w:r>
        <w:t xml:space="preserve"> </w:t>
      </w:r>
      <w:r>
        <w:t xml:space="preserve">on the platform surface. The governed path adds the binding from organizational intent to technical change: who owns it, what authorizes it, and how drift is caught.</w:t>
      </w:r>
    </w:p>
    <w:bookmarkEnd w:id="11"/>
    <w:bookmarkStart w:id="12" w:name="terminology"/>
    <w:p>
      <w:pPr>
        <w:pStyle w:val="Heading2"/>
      </w:pPr>
      <w:r>
        <w:t xml:space="preserve">Terminology</w:t>
      </w:r>
    </w:p>
    <w:p>
      <w:pPr>
        <w:pStyle w:val="FirstParagraph"/>
      </w:pPr>
      <w:r>
        <w:t xml:space="preserve">In this guide, the</w:t>
      </w:r>
      <w:r>
        <w:t xml:space="preserve"> </w:t>
      </w:r>
      <w:r>
        <w:rPr>
          <w:b/>
          <w:bCs/>
        </w:rPr>
        <w:t xml:space="preserve">control plane</w:t>
      </w:r>
      <w:r>
        <w:t xml:space="preserve"> </w:t>
      </w:r>
      <w:r>
        <w:t xml:space="preserve">is an active reconciliation layer that governs provider data planes. It holds desired state, observes actual state, classifies drift, and reconciles toward intent; it is not an inline runtime component and does not replace the providers.</w:t>
      </w:r>
      <w:r>
        <w:t xml:space="preserve"> </w:t>
      </w:r>
      <w:r>
        <w:rPr>
          <w:b/>
          <w:bCs/>
        </w:rPr>
        <w:t xml:space="preserve">Organizational attributes</w:t>
      </w:r>
      <w:r>
        <w:t xml:space="preserve"> </w:t>
      </w:r>
      <w:r>
        <w:t xml:space="preserve">are the coded values carried by every governed object so its state is addressable in the same terms across every plane.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nual-path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nual-path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2026-10-19T10:12:03Z</dcterms:created>
  <dcterms:modified xsi:type="dcterms:W3CDTF">2026-10-19T10:12:03Z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