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X3fa59f26a1632615409508ac7c930b46795e62b"/>
    <w:p>
      <w:pPr>
        <w:pStyle w:val="Heading1"/>
      </w:pPr>
      <w:r>
        <w:t xml:space="preserve">Device and Server Modernization — Manual Path</w:t>
      </w:r>
    </w:p>
    <w:p>
      <w:pPr>
        <w:pStyle w:val="FirstParagraph"/>
      </w:pPr>
      <w:r>
        <w:rPr>
          <w:b/>
          <w:bCs/>
        </w:rPr>
        <w:t xml:space="preserve">The end-to-end modernization runbook with no governance control plane: each operator owns the decision under local change control</w:t>
      </w:r>
    </w:p>
    <w:p>
      <w:pPr>
        <w:pStyle w:val="BodyText"/>
      </w:pPr>
      <w:r>
        <w:t xml:space="preserve">This is the modernization runbook for organizations executing without a governance control plane — by structure, acquisition, expedited timeline, or resource constraint. Every step is self-contained: it is meant to be run by technically qualified staff with no external advisory dependency.</w:t>
      </w:r>
    </w:p>
    <w:p>
      <w:pPr>
        <w:pStyle w:val="BodyText"/>
      </w:pPr>
      <w:r>
        <w:t xml:space="preserve">The manual path is not the un-governed path. Because no control plane validates each decision in real time,</w:t>
      </w:r>
      <w:r>
        <w:t xml:space="preserve"> </w:t>
      </w:r>
      <w:r>
        <w:rPr>
          <w:b/>
          <w:bCs/>
        </w:rPr>
        <w:t xml:space="preserve">you</w:t>
      </w:r>
      <w:r>
        <w:t xml:space="preserve"> </w:t>
      </w:r>
      <w:r>
        <w:t xml:space="preserve">own the change record, the approval, and the rollback. Document accepted risks in a change record before you begin, and treat every first run as a dry run.</w:t>
      </w:r>
    </w:p>
    <w:p>
      <w:pPr>
        <w:pStyle w:val="BodyText"/>
      </w:pPr>
      <w:r>
        <w:t xml:space="preserve">If you expect to add governance later, this path is designed so you can. Nothing here forecloses it.</w:t>
      </w:r>
    </w:p>
    <w:bookmarkStart w:id="9" w:name="phases-and-run-order"/>
    <w:p>
      <w:pPr>
        <w:pStyle w:val="Heading2"/>
      </w:pPr>
      <w:r>
        <w:t xml:space="preserve">0. Phases and run order</w:t>
      </w:r>
    </w:p>
    <w:p>
      <w:pPr>
        <w:pStyle w:val="FirstParagraph"/>
      </w:pPr>
      <w:r>
        <w:t xml:space="preserve">Modernization runs in four phases.</w:t>
      </w:r>
      <w:r>
        <w:t xml:space="preserve"> </w:t>
      </w:r>
      <w:r>
        <w:rPr>
          <w:b/>
          <w:bCs/>
        </w:rPr>
        <w:t xml:space="preserve">Observe before you change anything.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11"/>
        <w:gridCol w:w="1638"/>
        <w:gridCol w:w="3004"/>
        <w:gridCol w:w="13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Rung</w:t>
            </w:r>
          </w:p>
        </w:tc>
        <w:tc>
          <w:tcPr/>
          <w:p>
            <w:pPr>
              <w:pStyle w:val="Compact"/>
            </w:pPr>
            <w:r>
              <w:t xml:space="preserve">What runs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Observe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NTLM audit, service principal name inventory, SQL audit, device-management posture</w:t>
            </w:r>
          </w:p>
        </w:tc>
        <w:tc>
          <w:tcPr/>
          <w:p>
            <w:pPr>
              <w:pStyle w:val="Compact"/>
            </w:pPr>
            <w:r>
              <w:t xml:space="preserve">Baseline; you cannot safely restrict what you have not measured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— Onboard</w:t>
            </w:r>
          </w:p>
        </w:tc>
        <w:tc>
          <w:tcPr/>
          <w:p>
            <w:pPr>
              <w:pStyle w:val="Compact"/>
            </w:pPr>
            <w:r>
              <w:t xml:space="preserve">gated</w:t>
            </w:r>
          </w:p>
        </w:tc>
        <w:tc>
          <w:tcPr/>
          <w:p>
            <w:pPr>
              <w:pStyle w:val="Compact"/>
            </w:pPr>
            <w:r>
              <w:t xml:space="preserve">Hybrid management onboarding + baseline, device-management auto-enrollment</w:t>
            </w:r>
          </w:p>
        </w:tc>
        <w:tc>
          <w:tcPr/>
          <w:p>
            <w:pPr>
              <w:pStyle w:val="Compact"/>
            </w:pPr>
            <w:r>
              <w:t xml:space="preserve">Attach the management planes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— Harden</w:t>
            </w:r>
          </w:p>
        </w:tc>
        <w:tc>
          <w:tcPr/>
          <w:p>
            <w:pPr>
              <w:pStyle w:val="Compact"/>
            </w:pPr>
            <w:r>
              <w:t xml:space="preserve">gated</w:t>
            </w:r>
          </w:p>
        </w:tc>
        <w:tc>
          <w:tcPr/>
          <w:p>
            <w:pPr>
              <w:pStyle w:val="Compact"/>
            </w:pPr>
            <w:r>
              <w:t xml:space="preserve">Service principal name repair, NTLM restriction, Conditional Access baseline</w:t>
            </w:r>
          </w:p>
        </w:tc>
        <w:tc>
          <w:tcPr/>
          <w:p>
            <w:pPr>
              <w:pStyle w:val="Compact"/>
            </w:pPr>
            <w:r>
              <w:t xml:space="preserve">Close the identity gaps — only after Phase 1 signs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— Watch</w:t>
            </w:r>
          </w:p>
        </w:tc>
        <w:tc>
          <w:tcPr/>
          <w:p>
            <w:pPr>
              <w:pStyle w:val="Compact"/>
            </w:pPr>
            <w:r>
              <w:t xml:space="preserve">read-only</w:t>
            </w:r>
          </w:p>
        </w:tc>
        <w:tc>
          <w:tcPr/>
          <w:p>
            <w:pPr>
              <w:pStyle w:val="Compact"/>
            </w:pPr>
            <w:r>
              <w:t xml:space="preserve">Conditional Access drift, cross-domain status</w:t>
            </w:r>
          </w:p>
        </w:tc>
        <w:tc>
          <w:tcPr/>
          <w:p>
            <w:pPr>
              <w:pStyle w:val="Compact"/>
            </w:pPr>
            <w:r>
              <w:t xml:space="preserve">Keep it from drifting back</w:t>
            </w:r>
          </w:p>
        </w:tc>
      </w:tr>
    </w:tbl>
    <w:bookmarkEnd w:id="9"/>
    <w:bookmarkStart w:id="10" w:name="prerequisites-and-assessment"/>
    <w:p>
      <w:pPr>
        <w:pStyle w:val="Heading2"/>
      </w:pPr>
      <w:r>
        <w:t xml:space="preserve">1. Prerequisites and assessment</w:t>
      </w:r>
    </w:p>
    <w:p>
      <w:pPr>
        <w:pStyle w:val="FirstParagraph"/>
      </w:pPr>
      <w:r>
        <w:t xml:space="preserve">Beginning hybrid-management onboarding or device-management enrollment without completing the inventory and the NTLM audit is the single most common cause of failed modernization: authentication failures, policy conflicts, and application outages. Budget a minimum of two weeks for assessment before any production change.</w:t>
      </w:r>
    </w:p>
    <w:p>
      <w:pPr>
        <w:pStyle w:val="BodyText"/>
      </w:pPr>
      <w:r>
        <w:rPr>
          <w:b/>
          <w:bCs/>
        </w:rPr>
        <w:t xml:space="preserve">Licensing (verify before starting):</w:t>
      </w:r>
      <w:r>
        <w:t xml:space="preserve"> </w:t>
      </w:r>
      <w:r>
        <w:t xml:space="preserve">Device management, cloud identity with Conditional Access, a cloud subscription (hybrid-management connectivity is typically free; extensions may incur cost), endpoint and server security, and a log-analytics workspace.</w:t>
      </w:r>
    </w:p>
    <w:p>
      <w:pPr>
        <w:pStyle w:val="BodyText"/>
      </w:pPr>
      <w:r>
        <w:rPr>
          <w:b/>
          <w:bCs/>
        </w:rPr>
        <w:t xml:space="preserve">Roles (least privilege):</w:t>
      </w:r>
      <w:r>
        <w:t xml:space="preserve"> </w:t>
      </w:r>
      <w:r>
        <w:t xml:space="preserve">Hybrid-management onboarding role for servers; device-management administrator (via just-in-time elevation) for endpoints; Conditional Access administrator; hybrid identity administrator for directory synchronization; delegated organizational-unit admin for service principal name work.</w:t>
      </w:r>
    </w:p>
    <w:p>
      <w:pPr>
        <w:pStyle w:val="BodyText"/>
      </w:pPr>
      <w:r>
        <w:t xml:space="preserve">Baseline the estate (all read-only):</w:t>
      </w:r>
    </w:p>
    <w:p>
      <w:pPr>
        <w:pStyle w:val="Compact"/>
        <w:numPr>
          <w:ilvl w:val="0"/>
          <w:numId w:val="1001"/>
        </w:numPr>
      </w:pPr>
      <w:r>
        <w:t xml:space="preserve">NTLM audit (last 30 days)</w:t>
      </w:r>
    </w:p>
    <w:p>
      <w:pPr>
        <w:pStyle w:val="Compact"/>
        <w:numPr>
          <w:ilvl w:val="0"/>
          <w:numId w:val="1001"/>
        </w:numPr>
      </w:pPr>
      <w:r>
        <w:t xml:space="preserve">Service principal name inventory</w:t>
      </w:r>
    </w:p>
    <w:p>
      <w:pPr>
        <w:pStyle w:val="Compact"/>
        <w:numPr>
          <w:ilvl w:val="0"/>
          <w:numId w:val="1001"/>
        </w:numPr>
      </w:pPr>
      <w:r>
        <w:t xml:space="preserve">SQL hardening audit</w:t>
      </w:r>
    </w:p>
    <w:p>
      <w:pPr>
        <w:pStyle w:val="Compact"/>
        <w:numPr>
          <w:ilvl w:val="0"/>
          <w:numId w:val="1001"/>
        </w:numPr>
      </w:pPr>
      <w:r>
        <w:t xml:space="preserve">Device-management enrollment status</w:t>
      </w:r>
    </w:p>
    <w:bookmarkEnd w:id="10"/>
    <w:bookmarkStart w:id="11" w:name="hybrid-management-onboarding-servers"/>
    <w:p>
      <w:pPr>
        <w:pStyle w:val="Heading2"/>
      </w:pPr>
      <w:r>
        <w:t xml:space="preserve">2. Hybrid management onboarding (servers)</w:t>
      </w:r>
    </w:p>
    <w:p>
      <w:pPr>
        <w:pStyle w:val="FirstParagraph"/>
      </w:pPr>
      <w:r>
        <w:t xml:space="preserve">Hybrid management extends the cloud control plane to on-premises servers. The agent makes an</w:t>
      </w:r>
      <w:r>
        <w:t xml:space="preserve"> </w:t>
      </w:r>
      <w:r>
        <w:rPr>
          <w:b/>
          <w:bCs/>
        </w:rPr>
        <w:t xml:space="preserve">outbound</w:t>
      </w:r>
      <w:r>
        <w:t xml:space="preserve"> </w:t>
      </w:r>
      <w:r>
        <w:t xml:space="preserve">HTTPS connection — no inbound firewall rules are required. Each server appears as a hybrid resource, enabling role-based access control, tags, policy, and extensions.</w:t>
      </w:r>
    </w:p>
    <w:p>
      <w:pPr>
        <w:pStyle w:val="BodyText"/>
      </w:pPr>
      <w:r>
        <w:rPr>
          <w:b/>
          <w:bCs/>
        </w:rPr>
        <w:t xml:space="preserve">Note:</w:t>
      </w:r>
      <w:r>
        <w:t xml:space="preserve"> </w:t>
      </w:r>
      <w:r>
        <w:t xml:space="preserve">Hybrid-management servers run non-domain-joined in the target architecture. Onboarding attaches the</w:t>
      </w:r>
      <w:r>
        <w:t xml:space="preserve"> </w:t>
      </w:r>
      <w:r>
        <w:rPr>
          <w:i/>
          <w:iCs/>
        </w:rPr>
        <w:t xml:space="preserve">management</w:t>
      </w:r>
      <w:r>
        <w:t xml:space="preserve"> </w:t>
      </w:r>
      <w:r>
        <w:t xml:space="preserve">plane;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unjoin the domain for you. Domain-unjoin is a separately sequenced decision — plan it; do not let onboarding imply it.</w:t>
      </w:r>
    </w:p>
    <w:p>
      <w:pPr>
        <w:pStyle w:val="BodyText"/>
      </w:pPr>
      <w:r>
        <w:t xml:space="preserve">The onboarding process creates a least-privilege onboarding service principal, installs and connects the agent, and validates registration. A baseline policy assignment applies a Windows security baseline and enables server security.</w:t>
      </w:r>
    </w:p>
    <w:p>
      <w:pPr>
        <w:pStyle w:val="BodyText"/>
      </w:pPr>
      <w:r>
        <w:rPr>
          <w:b/>
          <w:bCs/>
        </w:rPr>
        <w:t xml:space="preserve">Never embed a service-principal secret in a Group Policy startup script.</w:t>
      </w:r>
      <w:r>
        <w:t xml:space="preserve"> </w:t>
      </w:r>
      <w:r>
        <w:t xml:space="preserve">A service-principal secret in a Group Policy startup script is readable by every domain-authenticated user. Retrieve it at runtime from a secrets store, or — for an expedited deployment — rotate the secret immediately after onboarding and restrict the service principal to the onboarding role only.</w:t>
      </w:r>
    </w:p>
    <w:p>
      <w:pPr>
        <w:pStyle w:val="BodyText"/>
      </w:pPr>
      <w:r>
        <w:rPr>
          <w:b/>
          <w:bCs/>
        </w:rPr>
        <w:t xml:space="preserve">Tag taxonomy</w:t>
      </w:r>
      <w:r>
        <w:t xml:space="preserve"> </w:t>
      </w:r>
      <w:r>
        <w:t xml:space="preserve">(apply consistently — tags drive policy scope, cost, and operational queries):</w:t>
      </w:r>
      <w:r>
        <w:t xml:space="preserve"> </w:t>
      </w:r>
      <w:r>
        <w:rPr>
          <w:rStyle w:val="VerbatimChar"/>
        </w:rPr>
        <w:t xml:space="preserve">Environment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Criticality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CostCenter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PatchGroup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OnboardedDate</w:t>
      </w:r>
      <w:r>
        <w:t xml:space="preserve">. On the governed path the same taxonomy carries organizational attributes.</w:t>
      </w:r>
    </w:p>
    <w:bookmarkEnd w:id="11"/>
    <w:bookmarkStart w:id="12" w:name="X6666fc5b890c93e34a8573cff79fb494a8f3520"/>
    <w:p>
      <w:pPr>
        <w:pStyle w:val="Heading2"/>
      </w:pPr>
      <w:r>
        <w:t xml:space="preserve">3. Device-management endpoint modernization (workstations)</w:t>
      </w:r>
    </w:p>
    <w:p>
      <w:pPr>
        <w:pStyle w:val="FirstParagraph"/>
      </w:pPr>
      <w:r>
        <w:t xml:space="preserve">For an existing domain-joined fleet with directory synchronization,</w:t>
      </w:r>
      <w:r>
        <w:t xml:space="preserve"> </w:t>
      </w:r>
      <w:r>
        <w:rPr>
          <w:b/>
          <w:bCs/>
        </w:rPr>
        <w:t xml:space="preserve">hybrid join + auto-enrollment</w:t>
      </w:r>
      <w:r>
        <w:t xml:space="preserve"> </w:t>
      </w:r>
      <w:r>
        <w:t xml:space="preserve">is the lowest-friction path: no reimage, no user action. Target it for the existing fleet before evaluating enrollment-from-the-start for new procurement.</w:t>
      </w:r>
    </w:p>
    <w:p>
      <w:pPr>
        <w:pStyle w:val="BodyText"/>
      </w:pPr>
      <w:r>
        <w:t xml:space="preserve">Deploy the critical configuration profiles in priority order: security baseline, disk encryption (with recovery escrow), platform single sign-on, endpoint protection, firewall profiles, and local administrator password solution. Then attach the compliance policy (minimum operating-system version, encryption, Secure Boot, code integrity, real-time protection, signature age, firewall, trusted platform module, health attestation) so non-compliant devices can be blocked by Conditional Access.</w:t>
      </w:r>
    </w:p>
    <w:p>
      <w:pPr>
        <w:pStyle w:val="BodyText"/>
      </w:pPr>
      <w:r>
        <w:rPr>
          <w:b/>
          <w:bCs/>
        </w:rPr>
        <w:t xml:space="preserve">Conflict note:</w:t>
      </w:r>
      <w:r>
        <w:t xml:space="preserve"> </w:t>
      </w:r>
      <w:r>
        <w:t xml:space="preserve">Where device management and a Group Policy Object target the same setting, last-writer-wins produces unpredictable results. Document overlapping settings before enabling device-management policy in production, and retire the Group Policy Object copy once device management owns the setting.</w:t>
      </w:r>
    </w:p>
    <w:bookmarkEnd w:id="12"/>
    <w:bookmarkStart w:id="13" w:name="identity-modernization-ntlm-elimination"/>
    <w:p>
      <w:pPr>
        <w:pStyle w:val="Heading2"/>
      </w:pPr>
      <w:r>
        <w:t xml:space="preserve">4. Identity modernization — NTLM elimination</w:t>
      </w:r>
    </w:p>
    <w:p>
      <w:pPr>
        <w:pStyle w:val="FirstParagraph"/>
      </w:pPr>
      <w:r>
        <w:t xml:space="preserve">NTLM is the most-exploited authentication weakness in Active Directory estates (relay, pass-the-hash). The destination is Kerberos-only.</w:t>
      </w:r>
    </w:p>
    <w:p>
      <w:pPr>
        <w:pStyle w:val="BodyText"/>
      </w:pPr>
      <w:r>
        <w:rPr>
          <w:b/>
          <w:bCs/>
        </w:rPr>
        <w:t xml:space="preserve">Audit before you restrict.</w:t>
      </w:r>
      <w:r>
        <w:t xml:space="preserve"> </w:t>
      </w:r>
      <w:r>
        <w:t xml:space="preserve">Prematurely blocking NTLM breaks legacy web applications, universal naming convention file access without service principal names, and some third-party applications. Enforce only after a 14–30 day audit confirms no remaining dependencies and application owners sign off.</w:t>
      </w:r>
    </w:p>
    <w:p>
      <w:pPr>
        <w:pStyle w:val="BodyText"/>
      </w:pPr>
      <w:r>
        <w:rPr>
          <w:b/>
          <w:bCs/>
        </w:rPr>
        <w:t xml:space="preserve">Staged elimination: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3867"/>
        <w:gridCol w:w="276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Compatibility level</w:t>
            </w:r>
          </w:p>
        </w:tc>
        <w:tc>
          <w:tcPr/>
          <w:p>
            <w:pPr>
              <w:pStyle w:val="Compact"/>
            </w:pPr>
            <w:r>
              <w:t xml:space="preserve">Restrict NTLM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Audit</w:t>
            </w:r>
          </w:p>
        </w:tc>
        <w:tc>
          <w:tcPr/>
          <w:p>
            <w:pPr>
              <w:pStyle w:val="Compact"/>
            </w:pPr>
            <w:r>
              <w:t xml:space="preserve">NTLMv2 only</w:t>
            </w:r>
          </w:p>
        </w:tc>
        <w:tc>
          <w:tcPr/>
          <w:p>
            <w:pPr>
              <w:pStyle w:val="Compact"/>
            </w:pPr>
            <w:r>
              <w:t xml:space="preserve">Audit NTLM in this domain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— Restrict NTLMv1</w:t>
            </w:r>
          </w:p>
        </w:tc>
        <w:tc>
          <w:tcPr/>
          <w:p>
            <w:pPr>
              <w:pStyle w:val="Compact"/>
            </w:pPr>
            <w:r>
              <w:t xml:space="preserve">Domain controller refuses LM</w:t>
            </w:r>
          </w:p>
        </w:tc>
        <w:tc>
          <w:tcPr/>
          <w:p>
            <w:pPr>
              <w:pStyle w:val="Compact"/>
            </w:pPr>
            <w:r>
              <w:t xml:space="preserve">Deny domain accounts (with exceptions)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— Block all</w:t>
            </w:r>
          </w:p>
        </w:tc>
        <w:tc>
          <w:tcPr/>
          <w:p>
            <w:pPr>
              <w:pStyle w:val="Compact"/>
            </w:pPr>
            <w:r>
              <w:t xml:space="preserve">Domain controller refuses LM and NTLM</w:t>
            </w:r>
          </w:p>
        </w:tc>
        <w:tc>
          <w:tcPr/>
          <w:p>
            <w:pPr>
              <w:pStyle w:val="Compact"/>
            </w:pPr>
            <w:r>
              <w:t xml:space="preserve">Deny all; remove exceptions</w:t>
            </w:r>
          </w:p>
        </w:tc>
      </w:tr>
    </w:tbl>
    <w:p>
      <w:pPr>
        <w:pStyle w:val="BodyText"/>
      </w:pPr>
      <w:r>
        <w:rPr>
          <w:b/>
          <w:bCs/>
        </w:rPr>
        <w:t xml:space="preserve">Enforcement layer:</w:t>
      </w:r>
      <w:r>
        <w:t xml:space="preserve"> </w:t>
      </w:r>
      <w:r>
        <w:t xml:space="preserve">NTLM is blocked at the local security authority layer and via Group Policy —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 Conditional Access. Conditional Access blocks</w:t>
      </w:r>
      <w:r>
        <w:t xml:space="preserve"> </w:t>
      </w:r>
      <w:r>
        <w:rPr>
          <w:i/>
          <w:iCs/>
        </w:rPr>
        <w:t xml:space="preserve">legacy authentication to cloud applications</w:t>
      </w:r>
      <w:r>
        <w:t xml:space="preserve"> </w:t>
      </w:r>
      <w:r>
        <w:t xml:space="preserve">only; it cannot block on-premises NTLM inside the domain.</w:t>
      </w:r>
    </w:p>
    <w:bookmarkEnd w:id="13"/>
    <w:bookmarkStart w:id="14" w:name="service-principal-name-audit-and-repair"/>
    <w:p>
      <w:pPr>
        <w:pStyle w:val="Heading2"/>
      </w:pPr>
      <w:r>
        <w:t xml:space="preserve">5. Service principal name audit and repair</w:t>
      </w:r>
    </w:p>
    <w:p>
      <w:pPr>
        <w:pStyle w:val="FirstParagraph"/>
      </w:pPr>
      <w:r>
        <w:t xml:space="preserve">Kerberos needs correct, unique service principal names. A</w:t>
      </w:r>
      <w:r>
        <w:t xml:space="preserve"> </w:t>
      </w:r>
      <w:r>
        <w:rPr>
          <w:b/>
          <w:bCs/>
        </w:rPr>
        <w:t xml:space="preserve">duplicate</w:t>
      </w:r>
      <w:r>
        <w:t xml:space="preserve"> </w:t>
      </w:r>
      <w:r>
        <w:t xml:space="preserve">service principal name breaks Kerberos and silently falls back to NTLM; a service principal name on a disabled account is stale. Fix service principal names before enforcing Kerberos.</w:t>
      </w:r>
    </w:p>
    <w:p>
      <w:pPr>
        <w:pStyle w:val="BodyText"/>
      </w:pPr>
      <w:r>
        <w:t xml:space="preserve">Validate post-repair by purging the ticket cache, accessing the service, and confirming a Kerberos ticket was issued (not NTLM). For SQL, the authentication scheme on the current session should return Kerberos.</w:t>
      </w:r>
    </w:p>
    <w:bookmarkEnd w:id="14"/>
    <w:bookmarkStart w:id="15" w:name="sql-server-audit-and-hardening"/>
    <w:p>
      <w:pPr>
        <w:pStyle w:val="Heading2"/>
      </w:pPr>
      <w:r>
        <w:t xml:space="preserve">6. SQL Server audit and hardening</w:t>
      </w:r>
    </w:p>
    <w:p>
      <w:pPr>
        <w:pStyle w:val="FirstParagraph"/>
      </w:pPr>
      <w:r>
        <w:t xml:space="preserve">The audit reports authentication mode (Windows-authentication-only is the goal), the dangerous server-configuration switches that should be</w:t>
      </w:r>
      <w:r>
        <w:t xml:space="preserve"> </w:t>
      </w:r>
      <w:r>
        <w:rPr>
          <w:b/>
          <w:bCs/>
        </w:rPr>
        <w:t xml:space="preserve">off</w:t>
      </w:r>
      <w:r>
        <w:t xml:space="preserve">, and the system-administrator account status. Then hybrid-connect the SQL hosts and enable server and SQL security.</w:t>
      </w:r>
    </w:p>
    <w:p>
      <w:pPr>
        <w:pStyle w:val="BodyText"/>
      </w:pPr>
      <w:r>
        <w:rPr>
          <w:b/>
          <w:bCs/>
        </w:rPr>
        <w:t xml:space="preserve">Note:</w:t>
      </w:r>
      <w:r>
        <w:t xml:space="preserve"> </w:t>
      </w:r>
      <w:r>
        <w:t xml:space="preserve">This audit covers the hardening checklist only. Replacing Windows/SQL authentication with cloud identity for SQL Server is its own engine-layer transformation.</w:t>
      </w:r>
    </w:p>
    <w:bookmarkEnd w:id="15"/>
    <w:bookmarkStart w:id="16" w:name="conditional-access-baseline"/>
    <w:p>
      <w:pPr>
        <w:pStyle w:val="Heading2"/>
      </w:pPr>
      <w:r>
        <w:t xml:space="preserve">7. Conditional Access baseline</w:t>
      </w:r>
    </w:p>
    <w:p>
      <w:pPr>
        <w:pStyle w:val="FirstParagraph"/>
      </w:pPr>
      <w:r>
        <w:t xml:space="preserve">The baseline creates the core policies — block legacy authentication, require multi-factor authentication, require compliant device, require multi-factor authentication for administrators and for the cloud management plane — in</w:t>
      </w:r>
      <w:r>
        <w:t xml:space="preserve"> </w:t>
      </w:r>
      <w:r>
        <w:rPr>
          <w:b/>
          <w:bCs/>
        </w:rPr>
        <w:t xml:space="preserve">report-only</w:t>
      </w:r>
      <w:r>
        <w:t xml:space="preserve"> </w:t>
      </w:r>
      <w:r>
        <w:t xml:space="preserve">state. Measure impact, then promote to enforce as a</w:t>
      </w:r>
      <w:r>
        <w:t xml:space="preserve"> </w:t>
      </w:r>
      <w:r>
        <w:rPr>
          <w:b/>
          <w:bCs/>
        </w:rPr>
        <w:t xml:space="preserve">separate</w:t>
      </w:r>
      <w:r>
        <w:t xml:space="preserve"> </w:t>
      </w:r>
      <w:r>
        <w:t xml:space="preserve">change.</w:t>
      </w:r>
    </w:p>
    <w:p>
      <w:pPr>
        <w:pStyle w:val="BodyText"/>
      </w:pPr>
      <w:r>
        <w:rPr>
          <w:b/>
          <w:bCs/>
        </w:rPr>
        <w:t xml:space="preserve">Always exclude break-glass.</w:t>
      </w:r>
      <w:r>
        <w:t xml:space="preserve"> </w:t>
      </w:r>
      <w:r>
        <w:t xml:space="preserve">Exclude a break-glass account group from every policy before enforcing, or you can lock yourself out. Keep two cloud-only break-glass accounts with long unique passwords, excluded from all Conditional Access, and alert on their use.</w:t>
      </w:r>
    </w:p>
    <w:bookmarkEnd w:id="16"/>
    <w:bookmarkStart w:id="17" w:name="monitoring-and-drift"/>
    <w:p>
      <w:pPr>
        <w:pStyle w:val="Heading2"/>
      </w:pPr>
      <w:r>
        <w:t xml:space="preserve">8. Monitoring and drift</w:t>
      </w:r>
    </w:p>
    <w:p>
      <w:pPr>
        <w:pStyle w:val="FirstParagraph"/>
      </w:pPr>
      <w:r>
        <w:t xml:space="preserve">Send hybrid-management heartbeat, device-management compliance, Active Directory audit, and endpoint-protection alerts to log analytics with defined alert rules. A cross-domain report rolls up which domains have fresh evidence and the headline pass/attention counts — your weekly status page.</w:t>
      </w:r>
    </w:p>
    <w:bookmarkEnd w:id="17"/>
    <w:bookmarkStart w:id="18" w:name="rollback"/>
    <w:p>
      <w:pPr>
        <w:pStyle w:val="Heading2"/>
      </w:pPr>
      <w:r>
        <w:t xml:space="preserve">9. Rollback</w:t>
      </w:r>
    </w:p>
    <w:p>
      <w:pPr>
        <w:pStyle w:val="FirstParagraph"/>
      </w:pPr>
      <w:r>
        <w:t xml:space="preserve">Define rollback criteria before you begin. Each domain has a defined back-out: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Device management:</w:t>
      </w:r>
      <w:r>
        <w:t xml:space="preserve"> </w:t>
      </w:r>
      <w:r>
        <w:t xml:space="preserve">un-enroll devices and re-apply the Group Policy baseline.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Hybrid management:</w:t>
      </w:r>
      <w:r>
        <w:t xml:space="preserve"> </w:t>
      </w:r>
      <w:r>
        <w:t xml:space="preserve">disconnect and uninstall the agent.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Conditional Access:</w:t>
      </w:r>
      <w:r>
        <w:t xml:space="preserve"> </w:t>
      </w:r>
      <w:r>
        <w:t xml:space="preserve">keep policies report-only until validated; the break-glass accounts are the emergency exclusion.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NTLM:</w:t>
      </w:r>
      <w:r>
        <w:t xml:space="preserve"> </w:t>
      </w:r>
      <w:r>
        <w:t xml:space="preserve">revert the compatibility level if a missed dependency surfaces — this is exactly why the audit gate exists.</w:t>
      </w:r>
    </w:p>
    <w:bookmarkEnd w:id="18"/>
    <w:bookmarkStart w:id="19" w:name="what-you-must-configure"/>
    <w:p>
      <w:pPr>
        <w:pStyle w:val="Heading2"/>
      </w:pPr>
      <w:r>
        <w:t xml:space="preserve">10. What you must configure</w:t>
      </w:r>
    </w:p>
    <w:p>
      <w:pPr>
        <w:pStyle w:val="FirstParagraph"/>
      </w:pPr>
      <w:r>
        <w:t xml:space="preserve">Search any supporting scripts for configuration markers — tenant identifier, subscription identifier, resource group, location/cloud, workstation organizational-unit distinguished name, break-glass group identifier, SQL instance list. Dry-run before removing any guards.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2026-10-19T10:10:40Z</dcterms:created>
  <dcterms:modified xsi:type="dcterms:W3CDTF">2026-10-19T10:10:40Z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