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03 — Attribute Authority</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25" w:name="chapter-03-attribute-authority"/>
    <w:p>
      <w:pPr>
        <w:pStyle w:val="Heading1"/>
      </w:pPr>
      <w:r>
        <w:t xml:space="preserve">Chapter 03 — Attribute Authority</w:t>
      </w:r>
    </w:p>
    <w:p>
      <w:pPr>
        <w:pStyle w:val="FirstParagraph"/>
      </w:pPr>
      <w:r>
        <w:rPr>
          <w:i/>
          <w:iCs/>
        </w:rPr>
        <w:t xml:space="preserve">Every attribute has exactly one master. The rest of the series depends on writing that down.</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The four record families only the HR system can originate. The split between system of record and identity provider. Why effective dating makes proactive automation possible. The attribute authority map. One person, one identifier. Worker type as the attribute policy hangs from. The operating rules.</w:t>
            </w:r>
          </w:p>
          <w:p/>
        </w:tc>
      </w:tr>
    </w:tbl>
    <w:bookmarkStart w:id="12" w:name="Xa1873eb4a1167556c476690d08b815773990656"/>
    <w:p>
      <w:pPr>
        <w:pStyle w:val="Heading2"/>
      </w:pPr>
      <w:r>
        <w:t xml:space="preserve">What a human capital system actually owns</w:t>
      </w:r>
    </w:p>
    <w:p>
      <w:pPr>
        <w:pStyle w:val="FirstParagraph"/>
      </w:pPr>
      <w:r>
        <w:t xml:space="preserve">The human capital system of record — Oracle Fusion Cloud HCM for agencies on Federal HR 2.0, delivered as SaaS under the provider’s own authorization — isn’t</w:t>
      </w:r>
      <w:r>
        <w:t xml:space="preserve"> </w:t>
      </w:r>
      <w:r>
        <w:t xml:space="preserve">“the payroll system.”</w:t>
      </w:r>
      <w:r>
        <w:t xml:space="preserve"> </w:t>
      </w:r>
      <w:r>
        <w:t xml:space="preserve">It is the system where four categories of fact are</w:t>
      </w:r>
      <w:r>
        <w:t xml:space="preserve"> </w:t>
      </w:r>
      <w:r>
        <w:rPr>
          <w:i/>
          <w:iCs/>
        </w:rPr>
        <w:t xml:space="preserve">created</w:t>
      </w:r>
      <w:r>
        <w:t xml:space="preserve"> </w:t>
      </w:r>
      <w:r>
        <w:t xml:space="preserve">rather than copied:</w:t>
      </w:r>
    </w:p>
    <w:p>
      <w:pPr>
        <w:pStyle w:val="TableCaption"/>
      </w:pPr>
      <w:r>
        <w:t xml:space="preserve">The four record families the system of record owns</w:t>
      </w:r>
    </w:p>
    <w:tbl>
      <w:tblPr>
        <w:tblStyle w:val="Table"/>
        <w:tblW w:type="pct" w:w="5000"/>
        <w:tblLayout w:type="fixed"/>
        <w:tblLook w:firstRow="1" w:lastRow="0" w:firstColumn="0" w:lastColumn="0" w:noHBand="0" w:noVBand="0" w:val="0020"/>
        <w:tblCaption w:val="The four record families the system of record owns"/>
      </w:tblPr>
      <w:tblGrid>
        <w:gridCol w:w="2640"/>
        <w:gridCol w:w="2640"/>
        <w:gridCol w:w="2640"/>
      </w:tblGrid>
      <w:tr>
        <w:trPr>
          <w:tblHeader w:val="on"/>
        </w:trPr>
        <w:tc>
          <w:tcPr/>
          <w:p>
            <w:pPr>
              <w:pStyle w:val="Compact"/>
            </w:pPr>
            <w:r>
              <w:t xml:space="preserve">Record</w:t>
            </w:r>
          </w:p>
        </w:tc>
        <w:tc>
          <w:tcPr/>
          <w:p>
            <w:pPr>
              <w:pStyle w:val="Compact"/>
            </w:pPr>
            <w:r>
              <w:t xml:space="preserve">What It Asserts</w:t>
            </w:r>
          </w:p>
        </w:tc>
        <w:tc>
          <w:tcPr/>
          <w:p>
            <w:pPr>
              <w:pStyle w:val="Compact"/>
            </w:pPr>
            <w:r>
              <w:t xml:space="preserve">Why It Cannot Originate Anywhere Else</w:t>
            </w:r>
          </w:p>
        </w:tc>
      </w:tr>
      <w:tr>
        <w:tc>
          <w:tcPr/>
          <w:p>
            <w:pPr>
              <w:pStyle w:val="Compact"/>
            </w:pPr>
            <w:r>
              <w:rPr>
                <w:b/>
                <w:bCs/>
              </w:rPr>
              <w:t xml:space="preserve">Worker record</w:t>
            </w:r>
          </w:p>
        </w:tc>
        <w:tc>
          <w:tcPr/>
          <w:p>
            <w:pPr>
              <w:pStyle w:val="Compact"/>
            </w:pPr>
            <w:r>
              <w:t xml:space="preserve">A person exists as a worker: identifier, legal name, worker type (employee, contractor, intern), employment status</w:t>
            </w:r>
          </w:p>
        </w:tc>
        <w:tc>
          <w:tcPr/>
          <w:p>
            <w:pPr>
              <w:pStyle w:val="Compact"/>
            </w:pPr>
            <w:r>
              <w:t xml:space="preserve">Hiring is an HR business act; the record is created</w:t>
            </w:r>
            <w:r>
              <w:t xml:space="preserve"> </w:t>
            </w:r>
            <w:r>
              <w:rPr>
                <w:i/>
                <w:iCs/>
              </w:rPr>
              <w:t xml:space="preserve">by</w:t>
            </w:r>
            <w:r>
              <w:t xml:space="preserve"> </w:t>
            </w:r>
            <w:r>
              <w:t xml:space="preserve">the act, not in response to it</w:t>
            </w:r>
          </w:p>
        </w:tc>
      </w:tr>
      <w:tr>
        <w:tc>
          <w:tcPr/>
          <w:p>
            <w:pPr>
              <w:pStyle w:val="Compact"/>
            </w:pPr>
            <w:r>
              <w:rPr>
                <w:b/>
                <w:bCs/>
              </w:rPr>
              <w:t xml:space="preserve">Position</w:t>
            </w:r>
          </w:p>
        </w:tc>
        <w:tc>
          <w:tcPr/>
          <w:p>
            <w:pPr>
              <w:pStyle w:val="Compact"/>
            </w:pPr>
            <w:r>
              <w:t xml:space="preserve">A seat exists in the organization with a title, grade, and organizational placement — independent of any incumbent</w:t>
            </w:r>
          </w:p>
        </w:tc>
        <w:tc>
          <w:tcPr/>
          <w:p>
            <w:pPr>
              <w:pStyle w:val="Compact"/>
            </w:pPr>
            <w:r>
              <w:t xml:space="preserve">Positions are established and abolished by organizational authority; a vacancy is a real, recorded state</w:t>
            </w:r>
          </w:p>
        </w:tc>
      </w:tr>
      <w:tr>
        <w:tc>
          <w:tcPr/>
          <w:p>
            <w:pPr>
              <w:pStyle w:val="Compact"/>
            </w:pPr>
            <w:r>
              <w:rPr>
                <w:b/>
                <w:bCs/>
              </w:rPr>
              <w:t xml:space="preserve">Assignment</w:t>
            </w:r>
          </w:p>
        </w:tc>
        <w:tc>
          <w:tcPr/>
          <w:p>
            <w:pPr>
              <w:pStyle w:val="Compact"/>
            </w:pPr>
            <w:r>
              <w:t xml:space="preserve">A worker holds a position, in an organization, at a location, under a supervisor, effective on a date</w:t>
            </w:r>
          </w:p>
        </w:tc>
        <w:tc>
          <w:tcPr/>
          <w:p>
            <w:pPr>
              <w:pStyle w:val="Compact"/>
            </w:pPr>
            <w:r>
              <w:t xml:space="preserve">The assignment</w:t>
            </w:r>
            <w:r>
              <w:t xml:space="preserve"> </w:t>
            </w:r>
            <w:r>
              <w:rPr>
                <w:i/>
                <w:iCs/>
              </w:rPr>
              <w:t xml:space="preserve">is</w:t>
            </w:r>
            <w:r>
              <w:t xml:space="preserve"> </w:t>
            </w:r>
            <w:r>
              <w:t xml:space="preserve">the employment relationship; every downstream access decision is a projection of it</w:t>
            </w:r>
          </w:p>
        </w:tc>
      </w:tr>
      <w:tr>
        <w:tc>
          <w:tcPr/>
          <w:p>
            <w:pPr>
              <w:pStyle w:val="Compact"/>
            </w:pPr>
            <w:r>
              <w:rPr>
                <w:b/>
                <w:bCs/>
              </w:rPr>
              <w:t xml:space="preserve">Supervisory hierarchy</w:t>
            </w:r>
          </w:p>
        </w:tc>
        <w:tc>
          <w:tcPr/>
          <w:p>
            <w:pPr>
              <w:pStyle w:val="Compact"/>
            </w:pPr>
            <w:r>
              <w:t xml:space="preserve">Who reports to whom — the reporting line from any worker to the head of the agency</w:t>
            </w:r>
          </w:p>
        </w:tc>
        <w:tc>
          <w:tcPr/>
          <w:p>
            <w:pPr>
              <w:pStyle w:val="Compact"/>
            </w:pPr>
            <w:r>
              <w:t xml:space="preserve">Reporting relationships are established by the same business acts that create assignments; the directory’s</w:t>
            </w:r>
            <w:r>
              <w:t xml:space="preserve"> </w:t>
            </w:r>
            <w:r>
              <w:rPr>
                <w:rStyle w:val="VerbatimChar"/>
              </w:rPr>
              <w:t xml:space="preserve">manager</w:t>
            </w:r>
            <w:r>
              <w:t xml:space="preserve"> </w:t>
            </w:r>
            <w:r>
              <w:t xml:space="preserve">field is at best a copy</w:t>
            </w:r>
          </w:p>
        </w:tc>
      </w:tr>
    </w:tbl>
    <w:bookmarkEnd w:id="12"/>
    <w:bookmarkStart w:id="13" w:name="X17bf277d61e417a8e524d3b739426d6661fbac8"/>
    <w:p>
      <w:pPr>
        <w:pStyle w:val="Heading2"/>
      </w:pPr>
      <w:r>
        <w:t xml:space="preserve">System of record versus identity provider</w:t>
      </w:r>
    </w:p>
    <w:p>
      <w:pPr>
        <w:pStyle w:val="FirstParagraph"/>
      </w:pPr>
      <w:r>
        <w:t xml:space="preserve">Naming the HCM as the source of authority for identity invites a predictable misreading — that it competes with the identity platform. It does not, and the boundary between them is worth stating precisely, because each is authoritative for a different category of fact:</w:t>
      </w:r>
    </w:p>
    <w:p>
      <w:pPr>
        <w:pStyle w:val="TableCaption"/>
      </w:pPr>
      <w:r>
        <w:t xml:space="preserve">The division of labor between the system of record and the identity platform</w:t>
      </w:r>
    </w:p>
    <w:tbl>
      <w:tblPr>
        <w:tblStyle w:val="Table"/>
        <w:tblW w:type="pct" w:w="5000"/>
        <w:tblLayout w:type="fixed"/>
        <w:tblLook w:firstRow="1" w:lastRow="0" w:firstColumn="0" w:lastColumn="0" w:noHBand="0" w:noVBand="0" w:val="0020"/>
        <w:tblCaption w:val="The division of labor between the system of record and the identity platform"/>
      </w:tblPr>
      <w:tblGrid>
        <w:gridCol w:w="2640"/>
        <w:gridCol w:w="2640"/>
        <w:gridCol w:w="2640"/>
      </w:tblGrid>
      <w:tr>
        <w:trPr>
          <w:tblHeader w:val="on"/>
        </w:trPr>
        <w:tc>
          <w:tcPr/>
          <w:p>
            <w:pPr>
              <w:pStyle w:val="Compact"/>
            </w:pPr>
            <w:r>
              <w:t xml:space="preserve">Function</w:t>
            </w:r>
          </w:p>
        </w:tc>
        <w:tc>
          <w:tcPr/>
          <w:p>
            <w:pPr>
              <w:pStyle w:val="Compact"/>
            </w:pPr>
            <w:r>
              <w:t xml:space="preserve">System of Record (HCM)</w:t>
            </w:r>
          </w:p>
        </w:tc>
        <w:tc>
          <w:tcPr/>
          <w:p>
            <w:pPr>
              <w:pStyle w:val="Compact"/>
            </w:pPr>
            <w:r>
              <w:t xml:space="preserve">Identity Platform (Entra ID)</w:t>
            </w:r>
          </w:p>
        </w:tc>
      </w:tr>
      <w:tr>
        <w:tc>
          <w:tcPr/>
          <w:p>
            <w:pPr>
              <w:pStyle w:val="Compact"/>
            </w:pPr>
            <w:r>
              <w:t xml:space="preserve">Who a worker</w:t>
            </w:r>
            <w:r>
              <w:t xml:space="preserve"> </w:t>
            </w:r>
            <w:r>
              <w:rPr>
                <w:i/>
                <w:iCs/>
              </w:rPr>
              <w:t xml:space="preserve">is</w:t>
            </w:r>
            <w:r>
              <w:t xml:space="preserve"> </w:t>
            </w:r>
            <w:r>
              <w:t xml:space="preserve">— existence, status, type</w:t>
            </w:r>
          </w:p>
        </w:tc>
        <w:tc>
          <w:tcPr/>
          <w:p>
            <w:pPr>
              <w:pStyle w:val="Compact"/>
            </w:pPr>
            <w:r>
              <w:rPr>
                <w:b/>
                <w:bCs/>
              </w:rPr>
              <w:t xml:space="preserve">Authoritative</w:t>
            </w:r>
          </w:p>
        </w:tc>
        <w:tc>
          <w:tcPr/>
          <w:p>
            <w:pPr>
              <w:pStyle w:val="Compact"/>
            </w:pPr>
            <w:r>
              <w:t xml:space="preserve">Derived: account state follows the record</w:t>
            </w:r>
          </w:p>
        </w:tc>
      </w:tr>
      <w:tr>
        <w:tc>
          <w:tcPr/>
          <w:p>
            <w:pPr>
              <w:pStyle w:val="Compact"/>
            </w:pPr>
            <w:r>
              <w:t xml:space="preserve">Where a worker</w:t>
            </w:r>
            <w:r>
              <w:t xml:space="preserve"> </w:t>
            </w:r>
            <w:r>
              <w:rPr>
                <w:i/>
                <w:iCs/>
              </w:rPr>
              <w:t xml:space="preserve">sits</w:t>
            </w:r>
            <w:r>
              <w:t xml:space="preserve"> </w:t>
            </w:r>
            <w:r>
              <w:t xml:space="preserve">— position, org, supervisor</w:t>
            </w:r>
          </w:p>
        </w:tc>
        <w:tc>
          <w:tcPr/>
          <w:p>
            <w:pPr>
              <w:pStyle w:val="Compact"/>
            </w:pPr>
            <w:r>
              <w:rPr>
                <w:b/>
                <w:bCs/>
              </w:rPr>
              <w:t xml:space="preserve">Authoritative</w:t>
            </w:r>
          </w:p>
        </w:tc>
        <w:tc>
          <w:tcPr/>
          <w:p>
            <w:pPr>
              <w:pStyle w:val="Compact"/>
            </w:pPr>
            <w:r>
              <w:t xml:space="preserve">Derived: attributes stamped, memberships computed</w:t>
            </w:r>
          </w:p>
        </w:tc>
      </w:tr>
      <w:tr>
        <w:tc>
          <w:tcPr/>
          <w:p>
            <w:pPr>
              <w:pStyle w:val="Compact"/>
            </w:pPr>
            <w:r>
              <w:t xml:space="preserve">How identity is</w:t>
            </w:r>
            <w:r>
              <w:t xml:space="preserve"> </w:t>
            </w:r>
            <w:r>
              <w:rPr>
                <w:i/>
                <w:iCs/>
              </w:rPr>
              <w:t xml:space="preserve">proven</w:t>
            </w:r>
            <w:r>
              <w:t xml:space="preserve"> </w:t>
            </w:r>
            <w:r>
              <w:t xml:space="preserve">— credentials, MFA, device binding</w:t>
            </w:r>
          </w:p>
        </w:tc>
        <w:tc>
          <w:tcPr/>
          <w:p>
            <w:pPr>
              <w:pStyle w:val="Compact"/>
            </w:pPr>
            <w:r>
              <w:t xml:space="preserve">—</w:t>
            </w:r>
          </w:p>
        </w:tc>
        <w:tc>
          <w:tcPr/>
          <w:p>
            <w:pPr>
              <w:pStyle w:val="Compact"/>
            </w:pPr>
            <w:r>
              <w:rPr>
                <w:b/>
                <w:bCs/>
              </w:rPr>
              <w:t xml:space="preserve">Authoritative</w:t>
            </w:r>
          </w:p>
        </w:tc>
      </w:tr>
      <w:tr>
        <w:tc>
          <w:tcPr/>
          <w:p>
            <w:pPr>
              <w:pStyle w:val="Compact"/>
            </w:pPr>
            <w:r>
              <w:t xml:space="preserve">Whether a request is</w:t>
            </w:r>
            <w:r>
              <w:t xml:space="preserve"> </w:t>
            </w:r>
            <w:r>
              <w:rPr>
                <w:i/>
                <w:iCs/>
              </w:rPr>
              <w:t xml:space="preserve">permitted now</w:t>
            </w:r>
            <w:r>
              <w:t xml:space="preserve"> </w:t>
            </w:r>
            <w:r>
              <w:t xml:space="preserve">— conditional access, sessions</w:t>
            </w:r>
          </w:p>
        </w:tc>
        <w:tc>
          <w:tcPr/>
          <w:p>
            <w:pPr>
              <w:pStyle w:val="Compact"/>
            </w:pPr>
            <w:r>
              <w:t xml:space="preserve">—</w:t>
            </w:r>
          </w:p>
        </w:tc>
        <w:tc>
          <w:tcPr/>
          <w:p>
            <w:pPr>
              <w:pStyle w:val="Compact"/>
            </w:pPr>
            <w:r>
              <w:rPr>
                <w:b/>
                <w:bCs/>
              </w:rPr>
              <w:t xml:space="preserve">Authoritative</w:t>
            </w:r>
            <w:r>
              <w:t xml:space="preserve"> </w:t>
            </w:r>
            <w:r>
              <w:t xml:space="preserve">(policy enforcement)</w:t>
            </w:r>
          </w:p>
        </w:tc>
      </w:tr>
      <w:tr>
        <w:tc>
          <w:tcPr/>
          <w:p>
            <w:pPr>
              <w:pStyle w:val="Compact"/>
            </w:pPr>
            <w:r>
              <w:t xml:space="preserve">Token issuance and claims format</w:t>
            </w:r>
          </w:p>
        </w:tc>
        <w:tc>
          <w:tcPr/>
          <w:p>
            <w:pPr>
              <w:pStyle w:val="Compact"/>
            </w:pPr>
            <w:r>
              <w:t xml:space="preserve">—</w:t>
            </w:r>
          </w:p>
        </w:tc>
        <w:tc>
          <w:tcPr/>
          <w:p>
            <w:pPr>
              <w:pStyle w:val="Compact"/>
            </w:pPr>
            <w:r>
              <w:rPr>
                <w:b/>
                <w:bCs/>
              </w:rPr>
              <w:t xml:space="preserve">Authoritative</w:t>
            </w:r>
            <w:r>
              <w:t xml:space="preserve">; claim</w:t>
            </w:r>
            <w:r>
              <w:t xml:space="preserve"> </w:t>
            </w:r>
            <w:r>
              <w:rPr>
                <w:i/>
                <w:iCs/>
              </w:rPr>
              <w:t xml:space="preserve">values</w:t>
            </w:r>
            <w:r>
              <w:t xml:space="preserve"> </w:t>
            </w:r>
            <w:r>
              <w:t xml:space="preserve">trace upstream</w:t>
            </w:r>
          </w:p>
        </w:tc>
      </w:tr>
    </w:tbl>
    <w:bookmarkEnd w:id="13"/>
    <w:bookmarkStart w:id="14" w:name="effective-dating-truth-with-a-timeline"/>
    <w:p>
      <w:pPr>
        <w:pStyle w:val="Heading2"/>
      </w:pPr>
      <w:r>
        <w:t xml:space="preserve">Effective dating: truth with a timeline</w:t>
      </w:r>
    </w:p>
    <w:p>
      <w:pPr>
        <w:pStyle w:val="FirstParagraph"/>
      </w:pPr>
      <w:r>
        <w:t xml:space="preserve">The property that separates a system of record from a directory is</w:t>
      </w:r>
      <w:r>
        <w:t xml:space="preserve"> </w:t>
      </w:r>
      <w:r>
        <w:rPr>
          <w:b/>
          <w:bCs/>
        </w:rPr>
        <w:t xml:space="preserve">effective dating</w:t>
      </w:r>
      <w:r>
        <w:t xml:space="preserve">. An HCM record does not say</w:t>
      </w:r>
      <w:r>
        <w:t xml:space="preserve"> </w:t>
      </w:r>
      <w:r>
        <w:t xml:space="preserve">“Jane is in the Program Integrity division”</w:t>
      </w:r>
      <w:r>
        <w:t xml:space="preserve">; it says</w:t>
      </w:r>
      <w:r>
        <w:t xml:space="preserve"> </w:t>
      </w:r>
      <w:r>
        <w:t xml:space="preserve">“Jane’s assignment to Program Integrity is effective 2026-08-03, superseding her prior assignment, which ended 2026-08-02.”</w:t>
      </w:r>
      <w:r>
        <w:t xml:space="preserve"> </w:t>
      </w:r>
      <w:r>
        <w:t xml:space="preserve">Future-dated hires, transfers, and separations exist in the system</w:t>
      </w:r>
      <w:r>
        <w:t xml:space="preserve"> </w:t>
      </w:r>
      <w:r>
        <w:rPr>
          <w:i/>
          <w:iCs/>
        </w:rPr>
        <w:t xml:space="preserve">before they are true</w:t>
      </w:r>
      <w:r>
        <w:t xml:space="preserve">, with the date on which they become true.</w:t>
      </w:r>
    </w:p>
    <w:p>
      <w:pPr>
        <w:pStyle w:val="BodyText"/>
      </w:pPr>
      <w:r>
        <w:t xml:space="preserve">This is not a bookkeeping nicety — it is what makes proactive automation possible. Day-one readiness (account, licenses, and group memberships waiting when a new hire badges in) requires knowing the hire</w:t>
      </w:r>
      <w:r>
        <w:t xml:space="preserve"> </w:t>
      </w:r>
      <w:r>
        <w:rPr>
          <w:i/>
          <w:iCs/>
        </w:rPr>
        <w:t xml:space="preserve">before</w:t>
      </w:r>
      <w:r>
        <w:t xml:space="preserve"> </w:t>
      </w:r>
      <w:r>
        <w:t xml:space="preserve">the start date. Same-day revocation requires knowing the separation</w:t>
      </w:r>
      <w:r>
        <w:t xml:space="preserve"> </w:t>
      </w:r>
      <w:r>
        <w:rPr>
          <w:i/>
          <w:iCs/>
        </w:rPr>
        <w:t xml:space="preserve">on</w:t>
      </w:r>
      <w:r>
        <w:t xml:space="preserve"> </w:t>
      </w:r>
      <w:r>
        <w:t xml:space="preserve">its effective date, not when the paperwork finishes circulating. A directory records state; the system of record records</w:t>
      </w:r>
      <w:r>
        <w:t xml:space="preserve"> </w:t>
      </w:r>
      <w:r>
        <w:rPr>
          <w:b/>
          <w:bCs/>
        </w:rPr>
        <w:t xml:space="preserve">state transitions with timestamps</w:t>
      </w:r>
      <w:r>
        <w:t xml:space="preserve">, which is exactly the shape an event-driven lifecycle consumes.</w:t>
      </w:r>
    </w:p>
    <w:bookmarkEnd w:id="14"/>
    <w:bookmarkStart w:id="15" w:name="authoritative-versus-derived-attributes"/>
    <w:p>
      <w:pPr>
        <w:pStyle w:val="Heading2"/>
      </w:pPr>
      <w:r>
        <w:t xml:space="preserve">Authoritative versus derived attributes</w:t>
      </w:r>
    </w:p>
    <w:p>
      <w:pPr>
        <w:pStyle w:val="FirstParagraph"/>
      </w:pPr>
      <w:r>
        <w:t xml:space="preserve">The discipline that makes the source of authority operable is a written, governed answer to one question per attribute:</w:t>
      </w:r>
      <w:r>
        <w:t xml:space="preserve"> </w:t>
      </w:r>
      <w:r>
        <w:rPr>
          <w:i/>
          <w:iCs/>
        </w:rPr>
        <w:t xml:space="preserve">which system owns this?</w:t>
      </w:r>
      <w:r>
        <w:t xml:space="preserve"> </w:t>
      </w:r>
      <w:r>
        <w:t xml:space="preserve">An attribute is</w:t>
      </w:r>
      <w:r>
        <w:t xml:space="preserve"> </w:t>
      </w:r>
      <w:r>
        <w:rPr>
          <w:b/>
          <w:bCs/>
        </w:rPr>
        <w:t xml:space="preserve">authoritative</w:t>
      </w:r>
      <w:r>
        <w:t xml:space="preserve"> </w:t>
      </w:r>
      <w:r>
        <w:t xml:space="preserve">where it is created by a business act, and</w:t>
      </w:r>
      <w:r>
        <w:t xml:space="preserve"> </w:t>
      </w:r>
      <w:r>
        <w:rPr>
          <w:b/>
          <w:bCs/>
        </w:rPr>
        <w:t xml:space="preserve">derived</w:t>
      </w:r>
      <w:r>
        <w:t xml:space="preserve"> </w:t>
      </w:r>
      <w:r>
        <w:t xml:space="preserve">everywhere else. Derived attributes are computed, stamped, and read — never edited in place.</w:t>
      </w:r>
    </w:p>
    <w:p>
      <w:pPr>
        <w:pStyle w:val="TableCaption"/>
      </w:pPr>
      <w:r>
        <w:t xml:space="preserve">The attribute authority map — which system owns which fact</w:t>
      </w:r>
    </w:p>
    <w:tbl>
      <w:tblPr>
        <w:tblStyle w:val="Table"/>
        <w:tblW w:type="pct" w:w="5000"/>
        <w:tblLayout w:type="fixed"/>
        <w:tblLook w:firstRow="1" w:lastRow="0" w:firstColumn="0" w:lastColumn="0" w:noHBand="0" w:noVBand="0" w:val="0020"/>
        <w:tblCaption w:val="The attribute authority map — which system owns which fact"/>
      </w:tblPr>
      <w:tblGrid>
        <w:gridCol w:w="2640"/>
        <w:gridCol w:w="2640"/>
        <w:gridCol w:w="2640"/>
      </w:tblGrid>
      <w:tr>
        <w:trPr>
          <w:tblHeader w:val="on"/>
        </w:trPr>
        <w:tc>
          <w:tcPr/>
          <w:p>
            <w:pPr>
              <w:pStyle w:val="Compact"/>
            </w:pPr>
            <w:r>
              <w:t xml:space="preserve">Attribute</w:t>
            </w:r>
          </w:p>
        </w:tc>
        <w:tc>
          <w:tcPr/>
          <w:p>
            <w:pPr>
              <w:pStyle w:val="Compact"/>
            </w:pPr>
            <w:r>
              <w:t xml:space="preserve">Authoritative system</w:t>
            </w:r>
          </w:p>
        </w:tc>
        <w:tc>
          <w:tcPr/>
          <w:p>
            <w:pPr>
              <w:pStyle w:val="Compact"/>
            </w:pPr>
            <w:r>
              <w:t xml:space="preserve">Derived consumers</w:t>
            </w:r>
          </w:p>
        </w:tc>
      </w:tr>
      <w:tr>
        <w:tc>
          <w:tcPr/>
          <w:p>
            <w:pPr>
              <w:pStyle w:val="Compact"/>
            </w:pPr>
            <w:r>
              <w:t xml:space="preserve">Worker identifier (</w:t>
            </w:r>
            <w:r>
              <w:rPr>
                <w:rStyle w:val="VerbatimChar"/>
              </w:rPr>
              <w:t xml:space="preserve">employeeId</w:t>
            </w:r>
            <w:r>
              <w:t xml:space="preserve">)</w:t>
            </w:r>
          </w:p>
        </w:tc>
        <w:tc>
          <w:tcPr/>
          <w:p>
            <w:pPr>
              <w:pStyle w:val="Compact"/>
            </w:pPr>
            <w:r>
              <w:t xml:space="preserve">HR system of record — the immutable correlation anchor, assigned at first affiliation</w:t>
            </w:r>
          </w:p>
        </w:tc>
        <w:tc>
          <w:tcPr/>
          <w:p>
            <w:pPr>
              <w:pStyle w:val="Compact"/>
            </w:pPr>
            <w:r>
              <w:t xml:space="preserve">Directory correlation key, audit joins, per-system account linkage</w:t>
            </w:r>
          </w:p>
        </w:tc>
      </w:tr>
      <w:tr>
        <w:tc>
          <w:tcPr/>
          <w:p>
            <w:pPr>
              <w:pStyle w:val="Compact"/>
            </w:pPr>
            <w:r>
              <w:t xml:space="preserve">Legal name, worker type, employment status</w:t>
            </w:r>
          </w:p>
        </w:tc>
        <w:tc>
          <w:tcPr/>
          <w:p>
            <w:pPr>
              <w:pStyle w:val="Compact"/>
            </w:pPr>
            <w:r>
              <w:t xml:space="preserve">HR system of record</w:t>
            </w:r>
          </w:p>
        </w:tc>
        <w:tc>
          <w:tcPr/>
          <w:p>
            <w:pPr>
              <w:pStyle w:val="Compact"/>
            </w:pPr>
            <w:r>
              <w:t xml:space="preserve">Display name, account enable/disable state, guest-versus-member classification</w:t>
            </w:r>
          </w:p>
        </w:tc>
      </w:tr>
      <w:tr>
        <w:tc>
          <w:tcPr/>
          <w:p>
            <w:pPr>
              <w:pStyle w:val="Compact"/>
            </w:pPr>
            <w:r>
              <w:t xml:space="preserve">Position, title, grade</w:t>
            </w:r>
          </w:p>
        </w:tc>
        <w:tc>
          <w:tcPr/>
          <w:p>
            <w:pPr>
              <w:pStyle w:val="Compact"/>
            </w:pPr>
            <w:r>
              <w:t xml:space="preserve">HR system of record</w:t>
            </w:r>
          </w:p>
        </w:tc>
        <w:tc>
          <w:tcPr/>
          <w:p>
            <w:pPr>
              <w:pStyle w:val="Compact"/>
            </w:pPr>
            <w:r>
              <w:t xml:space="preserve">Role-eligible access packages, approval routing</w:t>
            </w:r>
          </w:p>
        </w:tc>
      </w:tr>
      <w:tr>
        <w:tc>
          <w:tcPr/>
          <w:p>
            <w:pPr>
              <w:pStyle w:val="Compact"/>
            </w:pPr>
            <w:r>
              <w:t xml:space="preserve">Organizational placement (department, org code, cost center)</w:t>
            </w:r>
          </w:p>
        </w:tc>
        <w:tc>
          <w:tcPr/>
          <w:p>
            <w:pPr>
              <w:pStyle w:val="Compact"/>
            </w:pPr>
            <w:r>
              <w:t xml:space="preserve">HR system of record</w:t>
            </w:r>
          </w:p>
        </w:tc>
        <w:tc>
          <w:tcPr/>
          <w:p>
            <w:pPr>
              <w:pStyle w:val="Compact"/>
            </w:pPr>
            <w:r>
              <w:t xml:space="preserve">Dynamic group membership, ABAC attributes, chargeback</w:t>
            </w:r>
          </w:p>
        </w:tc>
      </w:tr>
      <w:tr>
        <w:tc>
          <w:tcPr/>
          <w:p>
            <w:pPr>
              <w:pStyle w:val="Compact"/>
            </w:pPr>
            <w:r>
              <w:t xml:space="preserve">Supervisor / reporting line</w:t>
            </w:r>
          </w:p>
        </w:tc>
        <w:tc>
          <w:tcPr/>
          <w:p>
            <w:pPr>
              <w:pStyle w:val="Compact"/>
            </w:pPr>
            <w:r>
              <w:t xml:space="preserve">HR system of record</w:t>
            </w:r>
          </w:p>
        </w:tc>
        <w:tc>
          <w:tcPr/>
          <w:p>
            <w:pPr>
              <w:pStyle w:val="Compact"/>
            </w:pPr>
            <w:r>
              <w:rPr>
                <w:rStyle w:val="VerbatimChar"/>
              </w:rPr>
              <w:t xml:space="preserve">manager</w:t>
            </w:r>
            <w:r>
              <w:t xml:space="preserve"> </w:t>
            </w:r>
            <w:r>
              <w:t xml:space="preserve">attribute, access-package approval routing, attestation campaigns</w:t>
            </w:r>
          </w:p>
        </w:tc>
      </w:tr>
      <w:tr>
        <w:tc>
          <w:tcPr/>
          <w:p>
            <w:pPr>
              <w:pStyle w:val="Compact"/>
            </w:pPr>
            <w:r>
              <w:t xml:space="preserve">Duty location</w:t>
            </w:r>
          </w:p>
        </w:tc>
        <w:tc>
          <w:tcPr/>
          <w:p>
            <w:pPr>
              <w:pStyle w:val="Compact"/>
            </w:pPr>
            <w:r>
              <w:t xml:space="preserve">HR system of record</w:t>
            </w:r>
          </w:p>
        </w:tc>
        <w:tc>
          <w:tcPr/>
          <w:p>
            <w:pPr>
              <w:pStyle w:val="Compact"/>
            </w:pPr>
            <w:r>
              <w:t xml:space="preserve">Conditional access named-location context, E911 records</w:t>
            </w:r>
          </w:p>
        </w:tc>
      </w:tr>
      <w:tr>
        <w:tc>
          <w:tcPr/>
          <w:p>
            <w:pPr>
              <w:pStyle w:val="Compact"/>
            </w:pPr>
            <w:r>
              <w:t xml:space="preserve">User principal name, mail, group memberships</w:t>
            </w:r>
          </w:p>
        </w:tc>
        <w:tc>
          <w:tcPr/>
          <w:p>
            <w:pPr>
              <w:pStyle w:val="Compact"/>
            </w:pPr>
            <w:r>
              <w:t xml:space="preserve">Identity platform —</w:t>
            </w:r>
            <w:r>
              <w:t xml:space="preserve"> </w:t>
            </w:r>
            <w:r>
              <w:rPr>
                <w:i/>
                <w:iCs/>
              </w:rPr>
              <w:t xml:space="preserve">derived</w:t>
            </w:r>
            <w:r>
              <w:t xml:space="preserve"> </w:t>
            </w:r>
            <w:r>
              <w:t xml:space="preserve">from HR attributes by rule</w:t>
            </w:r>
          </w:p>
        </w:tc>
        <w:tc>
          <w:tcPr/>
          <w:p>
            <w:pPr>
              <w:pStyle w:val="Compact"/>
            </w:pPr>
            <w:r>
              <w:t xml:space="preserve">Applications, token claims</w:t>
            </w:r>
          </w:p>
        </w:tc>
      </w:tr>
      <w:tr>
        <w:tc>
          <w:tcPr/>
          <w:p>
            <w:pPr>
              <w:pStyle w:val="Compact"/>
            </w:pPr>
            <w:r>
              <w:t xml:space="preserve">Device identity and certificates</w:t>
            </w:r>
          </w:p>
        </w:tc>
        <w:tc>
          <w:tcPr/>
          <w:p>
            <w:pPr>
              <w:pStyle w:val="Compact"/>
            </w:pPr>
            <w:r>
              <w:t xml:space="preserve">Device management and PKI (Chapter 07)</w:t>
            </w:r>
          </w:p>
        </w:tc>
        <w:tc>
          <w:tcPr/>
          <w:p>
            <w:pPr>
              <w:pStyle w:val="Compact"/>
            </w:pPr>
            <w:r>
              <w:t xml:space="preserve">Network admission, workload identity, TLS</w:t>
            </w:r>
          </w:p>
        </w:tc>
      </w:tr>
      <w:tr>
        <w:tc>
          <w:tcPr/>
          <w:p>
            <w:pPr>
              <w:pStyle w:val="Compact"/>
            </w:pPr>
            <w:r>
              <w:t xml:space="preserve">Credential strength, token claims format</w:t>
            </w:r>
          </w:p>
        </w:tc>
        <w:tc>
          <w:tcPr/>
          <w:p>
            <w:pPr>
              <w:pStyle w:val="Compact"/>
            </w:pPr>
            <w:r>
              <w:t xml:space="preserve">Identity platform</w:t>
            </w:r>
          </w:p>
        </w:tc>
        <w:tc>
          <w:tcPr/>
          <w:p>
            <w:pPr>
              <w:pStyle w:val="Compact"/>
            </w:pPr>
            <w:r>
              <w:t xml:space="preserve">Conditional Access, applications</w:t>
            </w:r>
          </w:p>
        </w:tc>
      </w:tr>
    </w:tbl>
    <w:p>
      <w:pPr>
        <w:pStyle w:val="BodyText"/>
      </w:pPr>
      <w:r>
        <w:t xml:space="preserve">The map has one rule with no exceptions:</w:t>
      </w:r>
      <w:r>
        <w:t xml:space="preserve"> </w:t>
      </w:r>
      <w:r>
        <w:rPr>
          <w:b/>
          <w:bCs/>
        </w:rPr>
        <w:t xml:space="preserve">corrections flow upstream.</w:t>
      </w:r>
      <w:r>
        <w:t xml:space="preserve"> </w:t>
      </w:r>
      <w:r>
        <w:t xml:space="preserve">When a token carries a wrong department, the fix is a correction to the HR record (or to the derivation rule) — never a hand-edit of the directory attribute, because a hand-edited projection is a new fragment (Chapter 01).</w:t>
      </w:r>
    </w:p>
    <w:bookmarkEnd w:id="15"/>
    <w:bookmarkStart w:id="16" w:name="one-person-one-identifier"/>
    <w:p>
      <w:pPr>
        <w:pStyle w:val="Heading2"/>
      </w:pPr>
      <w:r>
        <w:t xml:space="preserve">One person, one identifier</w:t>
      </w:r>
    </w:p>
    <w:p>
      <w:pPr>
        <w:pStyle w:val="FirstParagraph"/>
      </w:pPr>
      <w:r>
        <w:t xml:space="preserve">IA-4 requires managing identifiers by receiving authorization to assign them, selecting and assigning them to the intended entity, and</w:t>
      </w:r>
      <w:r>
        <w:t xml:space="preserve"> </w:t>
      </w:r>
      <w:r>
        <w:rPr>
          <w:b/>
          <w:bCs/>
        </w:rPr>
        <w:t xml:space="preserve">preventing their reuse</w:t>
      </w:r>
      <w:r>
        <w:t xml:space="preserve"> </w:t>
      </w:r>
      <w:r>
        <w:t xml:space="preserve">for a defined period. The enterprise discipline this architecture implements is stricter and simpler:</w:t>
      </w:r>
      <w:r>
        <w:t xml:space="preserve"> </w:t>
      </w:r>
      <w:r>
        <w:rPr>
          <w:b/>
          <w:bCs/>
        </w:rPr>
        <w:t xml:space="preserve">one person, one identifier, for the life of the affiliation — across every account, system, rehire, and conversion.</w:t>
      </w:r>
    </w:p>
    <w:p>
      <w:pPr>
        <w:pStyle w:val="BodyText"/>
      </w:pPr>
      <w:r>
        <w:t xml:space="preserve">The</w:t>
      </w:r>
      <w:r>
        <w:t xml:space="preserve"> </w:t>
      </w:r>
      <w:r>
        <w:rPr>
          <w:rStyle w:val="VerbatimChar"/>
        </w:rPr>
        <w:t xml:space="preserve">employeeId</w:t>
      </w:r>
      <w:r>
        <w:t xml:space="preserve"> </w:t>
      </w:r>
      <w:r>
        <w:t xml:space="preserve">assigned at first affiliation is the immutable correlation anchor. It never changes with name, position, region, or worker type; every account in every system that belongs to the person carries it; and when the person returns after a break in service, the rehire event re-links the</w:t>
      </w:r>
      <w:r>
        <w:t xml:space="preserve"> </w:t>
      </w:r>
      <w:r>
        <w:rPr>
          <w:i/>
          <w:iCs/>
        </w:rPr>
        <w:t xml:space="preserve">same</w:t>
      </w:r>
      <w:r>
        <w:t xml:space="preserve"> </w:t>
      </w:r>
      <w:r>
        <w:t xml:space="preserve">identifier rather than minting a fresh identity. This is only possible where the</w:t>
      </w:r>
      <w:r>
        <w:t xml:space="preserve"> </w:t>
      </w:r>
      <w:r>
        <w:rPr>
          <w:i/>
          <w:iCs/>
        </w:rPr>
        <w:t xml:space="preserve">person</w:t>
      </w:r>
      <w:r>
        <w:t xml:space="preserve"> </w:t>
      </w:r>
      <w:r>
        <w:t xml:space="preserve">— not the account — is the tracked entity. A directory cannot do it: directories track accounts, and an account deleted at separation takes its history with it. The worker record persists across affiliations, which is why identifier non-reuse and rehire correlation are properties of the HR system, projected downward.</w:t>
      </w:r>
    </w:p>
    <w:p>
      <w:pPr>
        <w:pStyle w:val="BodyText"/>
      </w:pPr>
      <w:r>
        <w:t xml:space="preserve">The same anchor is what makes audit joins possible at all: the token event in the SIEM, the database login, the badge swipe, and the personnel action resolve to one person only because one identifier threads them.</w:t>
      </w:r>
    </w:p>
    <w:bookmarkEnd w:id="16"/>
    <w:bookmarkStart w:id="17" w:name="the-worker-type-boundary"/>
    <w:p>
      <w:pPr>
        <w:pStyle w:val="Heading2"/>
      </w:pPr>
      <w:r>
        <w:t xml:space="preserve">The worker-type boundary</w:t>
      </w:r>
    </w:p>
    <w:p>
      <w:pPr>
        <w:pStyle w:val="FirstParagraph"/>
      </w:pPr>
      <w:r>
        <w:t xml:space="preserve">One authoritative attribute deserves special notice because entire policy families hang from it:</w:t>
      </w:r>
      <w:r>
        <w:t xml:space="preserve"> </w:t>
      </w:r>
      <w:r>
        <w:rPr>
          <w:b/>
          <w:bCs/>
        </w:rPr>
        <w:t xml:space="preserve">worker type.</w:t>
      </w:r>
      <w:r>
        <w:t xml:space="preserve"> </w:t>
      </w:r>
      <w:r>
        <w:t xml:space="preserve">Employee, contractor, intern, volunteer — the classification determines member-versus-guest treatment in the tenant, license assignment, access ceilings, and which conditional-access baseline applies. When worker type is a directory field someone sets at account creation, it is wrong exactly as often as staffing paperwork is ambiguous, and the errors are invisible because nothing reconciles them. When it is derived from the worker record, the contractor whose engagement ends loses access on the engagement’s end date (a leaver event for a non-employee), and the conversion seam — contractor on Friday, employee on Monday — is a re-derivation on the same identifier rather than a second identity with a second, forgotten first account. IA-4(4)’s status characterization (identifying each individual as, for example, a contractor) falls out of the same attribute for free: the characteristic is asserted by the system that classifies workers as a business act, not annotated by an administrator who heard about it.</w:t>
      </w:r>
    </w:p>
    <w:bookmarkEnd w:id="17"/>
    <w:bookmarkStart w:id="24" w:name="operating-rules"/>
    <w:p>
      <w:pPr>
        <w:pStyle w:val="Heading2"/>
      </w:pPr>
      <w:r>
        <w:t xml:space="preserve">Operating rules</w:t>
      </w:r>
    </w:p>
    <w:p>
      <w:pPr>
        <w:pStyle w:val="Compact"/>
        <w:numPr>
          <w:ilvl w:val="0"/>
          <w:numId w:val="1001"/>
        </w:numPr>
      </w:pPr>
      <w:r>
        <w:rPr>
          <w:b/>
          <w:bCs/>
        </w:rPr>
        <w:t xml:space="preserve">One master per attribute.</w:t>
      </w:r>
      <w:r>
        <w:t xml:space="preserve"> </w:t>
      </w:r>
      <w:r>
        <w:t xml:space="preserve">An attribute is authoritative in exactly one system. Writeback, if used, carries only identity-platform-mastered values (username, work email, work phone) to HR for display; it never touches an HR-mastered fact, and no attribute is writable in both directions.</w:t>
      </w:r>
    </w:p>
    <w:p>
      <w:pPr>
        <w:pStyle w:val="Compact"/>
        <w:numPr>
          <w:ilvl w:val="0"/>
          <w:numId w:val="1001"/>
        </w:numPr>
      </w:pPr>
      <w:r>
        <w:rPr>
          <w:b/>
          <w:bCs/>
        </w:rPr>
        <w:t xml:space="preserve">No manual edits to HR-derived attributes.</w:t>
      </w:r>
      <w:r>
        <w:t xml:space="preserve"> </w:t>
      </w:r>
      <w:r>
        <w:t xml:space="preserve">Any IT-originated write to an attribute the HR feed owns is a drift event (Chapter 09).</w:t>
      </w:r>
    </w:p>
    <w:p>
      <w:pPr>
        <w:pStyle w:val="Compact"/>
        <w:numPr>
          <w:ilvl w:val="0"/>
          <w:numId w:val="1001"/>
        </w:numPr>
      </w:pPr>
      <w:r>
        <w:rPr>
          <w:b/>
          <w:bCs/>
        </w:rPr>
        <w:t xml:space="preserve">Corrections flow upstream.</w:t>
      </w:r>
      <w:r>
        <w:t xml:space="preserve"> </w:t>
      </w:r>
      <w:r>
        <w:t xml:space="preserve">A wrong value is fixed in the HR record or in the mapping rule, never in the directory.</w:t>
      </w:r>
    </w:p>
    <w:p>
      <w:pPr>
        <w:pStyle w:val="Compact"/>
        <w:numPr>
          <w:ilvl w:val="0"/>
          <w:numId w:val="1001"/>
        </w:numPr>
      </w:pPr>
      <w:r>
        <w:rPr>
          <w:b/>
          <w:bCs/>
        </w:rPr>
        <w:t xml:space="preserve">Every event produces a provenance record.</w:t>
      </w:r>
      <w:r>
        <w:t xml:space="preserve"> </w:t>
      </w:r>
      <w:r>
        <w:t xml:space="preserve">No record, no closure.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19" name="Picture"/>
                  <a:graphic>
                    <a:graphicData uri="http://schemas.openxmlformats.org/drawingml/2006/picture">
                      <pic:pic>
                        <pic:nvPicPr>
                          <pic:cNvPr descr="/opt/quarto/share/formats/docx/tip.png" id="20"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series</w:t>
            </w:r>
          </w:p>
        </w:tc>
      </w:tr>
      <w:tr>
        <w:trPr>
          <w:cantSplit/>
        </w:trPr>
        <w:tc>
          <w:tcPr>
            <w:tcMar>
              <w:top w:w="108" w:type="dxa"/>
              <w:bottom w:w="108" w:type="dxa"/>
            </w:tcMar>
          </w:tcPr>
          <w:p>
            <w:pPr>
              <w:pStyle w:val="BodyText"/>
            </w:pPr>
            <w:pPr>
              <w:spacing w:before="16" w:after="16"/>
            </w:pPr>
            <w:hyperlink r:id="rId21">
              <w:r>
                <w:rPr>
                  <w:rStyle w:val="Hyperlink"/>
                </w:rPr>
                <w:t xml:space="preserve">← Previous: Chapter 02 — Federal HR 2.0</w:t>
              </w:r>
            </w:hyperlink>
            <w:r>
              <w:t xml:space="preserve"> </w:t>
            </w:r>
            <w:r>
              <w:t xml:space="preserve">·</w:t>
            </w:r>
            <w:r>
              <w:t xml:space="preserve"> </w:t>
            </w:r>
            <w:hyperlink r:id="rId22">
              <w:r>
                <w:rPr>
                  <w:rStyle w:val="Hyperlink"/>
                </w:rPr>
                <w:t xml:space="preserve">Index</w:t>
              </w:r>
            </w:hyperlink>
            <w:r>
              <w:t xml:space="preserve"> </w:t>
            </w:r>
            <w:r>
              <w:t xml:space="preserve">·</w:t>
            </w:r>
            <w:r>
              <w:t xml:space="preserve"> </w:t>
            </w:r>
            <w:hyperlink r:id="rId23">
              <w:r>
                <w:rPr>
                  <w:rStyle w:val="Hyperlink"/>
                </w:rPr>
                <w:t xml:space="preserve">Next: Chapter 04 — The Provisioning Pipeline →</w:t>
              </w:r>
            </w:hyperlink>
          </w:p>
          <w:p/>
        </w:tc>
      </w:tr>
    </w:tbl>
    <w:bookmarkEnd w:id="24"/>
    <w:bookmarkEnd w:id="2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8" Target="media/rId18.png" /><Relationship Type="http://schemas.openxmlformats.org/officeDocument/2006/relationships/hyperlink" Id="rId21" Target="02-federal-hr-2-0.md" TargetMode="External" /><Relationship Type="http://schemas.openxmlformats.org/officeDocument/2006/relationships/hyperlink" Id="rId23" Target="04-the-provisioning-pipeline.md" TargetMode="External" /><Relationship Type="http://schemas.openxmlformats.org/officeDocument/2006/relationships/hyperlink" Id="rId22" Target="index.md" TargetMode="External" /></Relationships>
</file>

<file path=word/_rels/footnotes.xml.rels><?xml version="1.0" encoding="UTF-8"?><Relationships xmlns="http://schemas.openxmlformats.org/package/2006/relationships"><Relationship Type="http://schemas.openxmlformats.org/officeDocument/2006/relationships/hyperlink" Id="rId21" Target="02-federal-hr-2-0.md" TargetMode="External" /><Relationship Type="http://schemas.openxmlformats.org/officeDocument/2006/relationships/hyperlink" Id="rId23" Target="04-the-provisioning-pipeline.md" TargetMode="External" /><Relationship Type="http://schemas.openxmlformats.org/officeDocument/2006/relationships/hyperlink" Id="rId22"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03 — Attribute Authority</dc:title>
  <dc:creator/>
  <dc:description>What the HR system of record owns and what the identity platform owns, effective dating, the authoritative-versus-derived rule for every attribute, one person one identifier for life, the worker-type boundary, and the operating rules that keep one master per attribute.</dc:description>
  <cp:keywords/>
  <dcterms:created xsi:type="dcterms:W3CDTF">2026-10-19T10:10:41Z</dcterms:created>
  <dcterms:modified xsi:type="dcterms:W3CDTF">2026-10-19T10:10:41Z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doc-type">
    <vt:lpwstr>hr-driven-iam-chapter</vt:lpwstr>
  </property>
  <property fmtid="{D5CDD505-2E9C-101B-9397-08002B2CF9AE}" pid="5" name="family">
    <vt:lpwstr>hr-driven-iam</vt:lpwstr>
  </property>
  <property fmtid="{D5CDD505-2E9C-101B-9397-08002B2CF9AE}" pid="6" name="header-includes">
    <vt:lpwstr/>
  </property>
  <property fmtid="{D5CDD505-2E9C-101B-9397-08002B2CF9AE}" pid="7" name="include-after">
    <vt:lpwstr/>
  </property>
  <property fmtid="{D5CDD505-2E9C-101B-9397-08002B2CF9AE}" pid="8" name="include-before">
    <vt:lpwstr/>
  </property>
  <property fmtid="{D5CDD505-2E9C-101B-9397-08002B2CF9AE}" pid="9" name="labels">
    <vt:lpwstr/>
  </property>
  <property fmtid="{D5CDD505-2E9C-101B-9397-08002B2CF9AE}" pid="10" name="lifecycle">
    <vt:lpwstr>active</vt:lpwstr>
  </property>
  <property fmtid="{D5CDD505-2E9C-101B-9397-08002B2CF9AE}" pid="11" name="lifecycle_review">
    <vt:lpwstr>2027-01-01</vt:lpwstr>
  </property>
  <property fmtid="{D5CDD505-2E9C-101B-9397-08002B2CF9AE}" pid="12" name="series-order">
    <vt:lpwstr>3</vt:lpwstr>
  </property>
  <property fmtid="{D5CDD505-2E9C-101B-9397-08002B2CF9AE}" pid="13" name="status">
    <vt:lpwstr>draft</vt:lpwstr>
  </property>
  <property fmtid="{D5CDD505-2E9C-101B-9397-08002B2CF9AE}" pid="14" name="tiers_adopted">
    <vt:lpwstr/>
  </property>
  <property fmtid="{D5CDD505-2E9C-101B-9397-08002B2CF9AE}" pid="15" name="toc-title">
    <vt:lpwstr>Table of contents</vt:lpwstr>
  </property>
</Properties>
</file>