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learning"/>
    <w:p>
      <w:pPr>
        <w:pStyle w:val="Heading1"/>
      </w:pPr>
      <w:r>
        <w:t xml:space="preserve">Learning</w:t>
      </w:r>
    </w:p>
    <w:p>
      <w:pPr>
        <w:pStyle w:val="FirstParagraph"/>
      </w:pPr>
      <w:r>
        <w:rPr>
          <w:b/>
          <w:bCs/>
        </w:rPr>
        <w:t xml:space="preserve">Foundational technical references for engineers transitioning legacy stacks to cloud-native equivalents</w:t>
      </w:r>
    </w:p>
    <w:p>
      <w:pPr>
        <w:pStyle w:val="BodyText"/>
      </w:pPr>
      <w:r>
        <w:t xml:space="preserve">These documents are intentionally brand-agnostic. They cover the underlying technology, protocols, cryptography, APIs, and ecosystem patterns that any team encounters when modernizing legacy stacks.</w:t>
      </w:r>
    </w:p>
    <w:bookmarkStart w:id="11" w:name="contents"/>
    <w:p>
      <w:pPr>
        <w:pStyle w:val="Heading2"/>
      </w:pPr>
      <w:r>
        <w:t xml:space="preserve">Contents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658"/>
        <w:gridCol w:w="326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Old AD vs New Entra ID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Languages, protocols, cryptography, APIs, IaC, CI/CD, governance, and hybrid bridges across the AD-to-Entra transition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Entra Security Baseline — Federal Crosswalk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Microsoft’s Secure Future Initiative / Zero Trust configure-security checklist, scored for a government-cloud agency with 20+ years of Active Directory</w:t>
            </w:r>
          </w:p>
        </w:tc>
      </w:tr>
    </w:tbl>
    <w:bookmarkEnd w:id="11"/>
    <w:bookmarkStart w:id="12" w:name="how-to-use"/>
    <w:p>
      <w:pPr>
        <w:pStyle w:val="Heading2"/>
      </w:pPr>
      <w:r>
        <w:t xml:space="preserve">How to use</w:t>
      </w:r>
    </w:p>
    <w:p>
      <w:pPr>
        <w:pStyle w:val="FirstParagraph"/>
      </w:pPr>
      <w:r>
        <w:t xml:space="preserve">Start with the document most relevant to your transition. Each reference is self-contained. Read top-to-bottom for a survey or jump to specific sections via the table of contents.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entra-security-baseline-federal-crosswalk.md" TargetMode="External" /><Relationship Type="http://schemas.openxmlformats.org/officeDocument/2006/relationships/hyperlink" Id="rId9" Target="old-ad-vs-new-entra-referenc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entra-security-baseline-federal-crosswalk.md" TargetMode="External" /><Relationship Type="http://schemas.openxmlformats.org/officeDocument/2006/relationships/hyperlink" Id="rId9" Target="old-ad-vs-new-entra-referenc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2026-10-19T10:12:04Z</dcterms:created>
  <dcterms:modified xsi:type="dcterms:W3CDTF">2026-10-19T10:12:04Z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