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7" w:name="X4ab161f1afa17c13a21dde5193ee23db8ece6dc"/>
    <w:p>
      <w:pPr>
        <w:pStyle w:val="Heading1"/>
      </w:pPr>
      <w:r>
        <w:t xml:space="preserve">Entra Security Baseline — A Federal AD-to-Entra Crosswalk</w:t>
      </w:r>
    </w:p>
    <w:p>
      <w:pPr>
        <w:pStyle w:val="FirstParagraph"/>
      </w:pPr>
      <w:r>
        <w:rPr>
          <w:b/>
          <w:bCs/>
        </w:rPr>
        <w:t xml:space="preserve">Microsoft’s Secure Future Initiative / Zero Trust configure-security checklist, scored for a government-cloud agency with 20+ years of Active Directory</w:t>
      </w:r>
    </w:p>
    <w:bookmarkStart w:id="9" w:name="the-assessment-in-one-paragraph"/>
    <w:p>
      <w:pPr>
        <w:pStyle w:val="Heading2"/>
      </w:pPr>
      <w:r>
        <w:t xml:space="preserve">1. The assessment in one paragraph</w:t>
      </w:r>
    </w:p>
    <w:p>
      <w:pPr>
        <w:pStyle w:val="FirstParagraph"/>
      </w:pPr>
      <w:r>
        <w:t xml:space="preserve">A 20-year Active Directory agency on a government cloud can implement a meaningful slice of the baseline quickly — the consent/guest/logging/break-glass/legacy-auth/privileged-identity cluster is mostly already licensed and config-only. But three filters knock out or defer roughly a third of the checklist before any work starts: the entire “Protect networks” theme depends on a capability that is unavailable or non-FIPS in government clouds; the AI theme is nascent and unconfirmed; and the heaviest identity controls (managed-device sign-in, token protection, org-wide phishing-resistant auth, cloud authentication) are gated on device, device-management, and federation modernization that two decades of Active Directory make a multi-quarter program rather than a toggle. The agency’s one structural advantage is certificate-based authentication (PIV/CAC), which turns several phishing-resistant controls into accelerators.</w:t>
      </w:r>
    </w:p>
    <w:bookmarkEnd w:id="9"/>
    <w:bookmarkStart w:id="13" w:name="the-three-filters"/>
    <w:p>
      <w:pPr>
        <w:pStyle w:val="Heading2"/>
      </w:pPr>
      <w:r>
        <w:t xml:space="preserve">2. The three filters</w:t>
      </w:r>
    </w:p>
    <w:bookmarkStart w:id="10" w:name="filter-1-government-cloud-eligibility"/>
    <w:p>
      <w:pPr>
        <w:pStyle w:val="Heading3"/>
      </w:pPr>
      <w:r>
        <w:t xml:space="preserve">Filter 1 — Government-cloud eligibility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465"/>
        <w:gridCol w:w="445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Theme</w:t>
            </w:r>
          </w:p>
        </w:tc>
        <w:tc>
          <w:tcPr/>
          <w:p>
            <w:pPr>
              <w:pStyle w:val="Compact"/>
            </w:pPr>
            <w:r>
              <w:t xml:space="preserve">Reality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Protect identities &amp; secrets</w:t>
            </w:r>
          </w:p>
        </w:tc>
        <w:tc>
          <w:tcPr/>
          <w:p>
            <w:pPr>
              <w:pStyle w:val="Compact"/>
            </w:pPr>
            <w:r>
              <w:t xml:space="preserve">Almost entirely available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Protect tenants</w:t>
            </w:r>
          </w:p>
        </w:tc>
        <w:tc>
          <w:tcPr/>
          <w:p>
            <w:pPr>
              <w:pStyle w:val="Compact"/>
            </w:pPr>
            <w:r>
              <w:t xml:space="preserve">Available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Protect networks</w:t>
            </w:r>
          </w:p>
        </w:tc>
        <w:tc>
          <w:tcPr/>
          <w:p>
            <w:pPr>
              <w:pStyle w:val="Compact"/>
            </w:pPr>
            <w:r>
              <w:t xml:space="preserve">Gated or non-FIPS in government clouds. Treat as evaluate, not quick win.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Protect engineering systems</w:t>
            </w:r>
          </w:p>
        </w:tc>
        <w:tc>
          <w:tcPr/>
          <w:p>
            <w:pPr>
              <w:pStyle w:val="Compact"/>
            </w:pPr>
            <w:r>
              <w:t xml:space="preserve">Available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Monitor &amp; detect</w:t>
            </w:r>
          </w:p>
        </w:tc>
        <w:tc>
          <w:tcPr/>
          <w:p>
            <w:pPr>
              <w:pStyle w:val="Compact"/>
            </w:pPr>
            <w:r>
              <w:t xml:space="preserve">Available, except network-log checks that depend on the gated capability</w:t>
            </w:r>
          </w:p>
        </w:tc>
      </w:tr>
      <w:tr>
        <w:tc>
          <w:tcPr/>
          <w:p>
            <w:pPr>
              <w:pStyle w:val="Compact"/>
            </w:pPr>
            <w:r>
              <w:t xml:space="preserve">Accelerate response</w:t>
            </w:r>
          </w:p>
        </w:tc>
        <w:tc>
          <w:tcPr/>
          <w:p>
            <w:pPr>
              <w:pStyle w:val="Compact"/>
            </w:pPr>
            <w:r>
              <w:t xml:space="preserve">Available (confirm entitlement)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Nascent; government availability unconfirmed — defer</w:t>
            </w:r>
          </w:p>
        </w:tc>
      </w:tr>
    </w:tbl>
    <w:bookmarkEnd w:id="10"/>
    <w:bookmarkStart w:id="11" w:name="filter-2-licensing"/>
    <w:p>
      <w:pPr>
        <w:pStyle w:val="Heading3"/>
      </w:pPr>
      <w:r>
        <w:t xml:space="preserve">Filter 2 — Licensing</w:t>
      </w:r>
    </w:p>
    <w:p>
      <w:pPr>
        <w:pStyle w:val="FirstParagraph"/>
      </w:pPr>
      <w:r>
        <w:t xml:space="preserve">Federal agencies typically run a suite that includes the identity governance features. The constraint is operational, not entitlement, for the majority of controls. Separate SKUs for network-access features collide with Filter 1.</w:t>
      </w:r>
    </w:p>
    <w:bookmarkEnd w:id="11"/>
    <w:bookmarkStart w:id="12" w:name="Xbff33215af42747f9e4e7fd1f3a0db3c0444fd1"/>
    <w:p>
      <w:pPr>
        <w:pStyle w:val="Heading3"/>
      </w:pPr>
      <w:r>
        <w:t xml:space="preserve">Filter 3 — 20-year Active Directory friction</w:t>
      </w:r>
    </w:p>
    <w:p>
      <w:pPr>
        <w:pStyle w:val="FirstParagraph"/>
      </w:pPr>
      <w:r>
        <w:t xml:space="preserve">The same control can be a 10-minute toggle or a 9-month program depending on the hybrid estate (directory sync, federation, basic-auth applications, decades of service accounts, domain-joined devices, on-premises Group Policy password policy). The friction column names that entanglement; the effort tier prices it.</w:t>
      </w:r>
    </w:p>
    <w:bookmarkEnd w:id="12"/>
    <w:bookmarkEnd w:id="13"/>
    <w:bookmarkStart w:id="14" w:name="how-to-read-the-crosswalk"/>
    <w:p>
      <w:pPr>
        <w:pStyle w:val="Heading2"/>
      </w:pPr>
      <w:r>
        <w:t xml:space="preserve">3. How to read the crosswalk</w:t>
      </w:r>
    </w:p>
    <w:p>
      <w:pPr>
        <w:pStyle w:val="FirstParagraph"/>
      </w:pPr>
      <w:r>
        <w:rPr>
          <w:b/>
          <w:bCs/>
        </w:rPr>
        <w:t xml:space="preserve">Government-cloud availability</w:t>
      </w:r>
      <w:r>
        <w:t xml:space="preserve"> </w:t>
      </w:r>
      <w:r>
        <w:t xml:space="preserve">- Available today</w:t>
      </w:r>
      <w:r>
        <w:t xml:space="preserve"> </w:t>
      </w:r>
      <w:r>
        <w:t xml:space="preserve">- Available but caveated</w:t>
      </w:r>
      <w:r>
        <w:t xml:space="preserve"> </w:t>
      </w:r>
      <w:r>
        <w:t xml:space="preserve">- Not available or only via non-FIPS path</w:t>
      </w:r>
    </w:p>
    <w:p>
      <w:pPr>
        <w:pStyle w:val="BodyText"/>
      </w:pPr>
      <w:r>
        <w:rPr>
          <w:b/>
          <w:bCs/>
        </w:rPr>
        <w:t xml:space="preserve">Active Directory friction</w:t>
      </w:r>
      <w:r>
        <w:t xml:space="preserve"> </w:t>
      </w:r>
      <w:r>
        <w:t xml:space="preserve">- Cloud-only — no on-premises entanglement</w:t>
      </w:r>
      <w:r>
        <w:t xml:space="preserve"> </w:t>
      </w:r>
      <w:r>
        <w:t xml:space="preserve">- Hybrid-touching — coordinate with sync / devices / users</w:t>
      </w:r>
      <w:r>
        <w:t xml:space="preserve"> </w:t>
      </w:r>
      <w:r>
        <w:t xml:space="preserve">- Legacy-blocking — gated on retiring or modernizing a 20-year dependency</w:t>
      </w:r>
    </w:p>
    <w:p>
      <w:pPr>
        <w:pStyle w:val="BodyText"/>
      </w:pPr>
      <w:r>
        <w:rPr>
          <w:b/>
          <w:bCs/>
        </w:rPr>
        <w:t xml:space="preserve">Effort tier</w:t>
      </w:r>
      <w:r>
        <w:t xml:space="preserve"> </w:t>
      </w:r>
      <w:r>
        <w:t xml:space="preserve">- T0 — This week. Tenant toggle, no legacy dependency.</w:t>
      </w:r>
      <w:r>
        <w:t xml:space="preserve"> </w:t>
      </w:r>
      <w:r>
        <w:t xml:space="preserve">- T1 — Quick (days). Config is fast; discovery / coordination / rollout is the work.</w:t>
      </w:r>
      <w:r>
        <w:t xml:space="preserve"> </w:t>
      </w:r>
      <w:r>
        <w:t xml:space="preserve">- T2 — Weeks. Inventory + remediation, or staged rollout.</w:t>
      </w:r>
      <w:r>
        <w:t xml:space="preserve"> </w:t>
      </w:r>
      <w:r>
        <w:t xml:space="preserve">- T3 — Multi-quarter program. Gated on device / identity / federation modernization.</w:t>
      </w:r>
    </w:p>
    <w:bookmarkEnd w:id="14"/>
    <w:bookmarkStart w:id="15" w:name="X172a4ba7648ca048e6548f592a542bc5097b109"/>
    <w:p>
      <w:pPr>
        <w:pStyle w:val="Heading2"/>
      </w:pPr>
      <w:r>
        <w:t xml:space="preserve">4. Illustrative controls — Protect identities and secrets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851"/>
        <w:gridCol w:w="3168"/>
        <w:gridCol w:w="190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Control</w:t>
            </w:r>
          </w:p>
        </w:tc>
        <w:tc>
          <w:tcPr/>
          <w:p>
            <w:pPr>
              <w:pStyle w:val="Compact"/>
            </w:pPr>
            <w:r>
              <w:t xml:space="preserve">Friction</w:t>
            </w:r>
          </w:p>
        </w:tc>
        <w:tc>
          <w:tcPr/>
          <w:p>
            <w:pPr>
              <w:pStyle w:val="Compact"/>
            </w:pPr>
            <w:r>
              <w:t xml:space="preserve">Tier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User consent settings restricted</w:t>
            </w:r>
          </w:p>
        </w:tc>
        <w:tc>
          <w:tcPr/>
          <w:p>
            <w:pPr>
              <w:pStyle w:val="Compact"/>
            </w:pPr>
            <w:r>
              <w:t xml:space="preserve">Cloud-only</w:t>
            </w:r>
          </w:p>
        </w:tc>
        <w:tc>
          <w:tcPr/>
          <w:p>
            <w:pPr>
              <w:pStyle w:val="Compact"/>
            </w:pPr>
            <w:r>
              <w:t xml:space="preserve">T0</w:t>
            </w:r>
          </w:p>
        </w:tc>
      </w:tr>
      <w:tr>
        <w:tc>
          <w:tcPr/>
          <w:p>
            <w:pPr>
              <w:pStyle w:val="Compact"/>
            </w:pPr>
            <w:r>
              <w:t xml:space="preserve">Admin consent workflow enabled</w:t>
            </w:r>
          </w:p>
        </w:tc>
        <w:tc>
          <w:tcPr/>
          <w:p>
            <w:pPr>
              <w:pStyle w:val="Compact"/>
            </w:pPr>
            <w:r>
              <w:t xml:space="preserve">Cloud-only</w:t>
            </w:r>
          </w:p>
        </w:tc>
        <w:tc>
          <w:tcPr/>
          <w:p>
            <w:pPr>
              <w:pStyle w:val="Compact"/>
            </w:pPr>
            <w:r>
              <w:t xml:space="preserve">T0</w:t>
            </w:r>
          </w:p>
        </w:tc>
      </w:tr>
      <w:tr>
        <w:tc>
          <w:tcPr/>
          <w:p>
            <w:pPr>
              <w:pStyle w:val="Compact"/>
            </w:pPr>
            <w:r>
              <w:t xml:space="preserve">Block legacy authentication policy</w:t>
            </w:r>
          </w:p>
        </w:tc>
        <w:tc>
          <w:tcPr/>
          <w:p>
            <w:pPr>
              <w:pStyle w:val="Compact"/>
            </w:pPr>
            <w:r>
              <w:t xml:space="preserve">Legacy-blocking</w:t>
            </w:r>
          </w:p>
        </w:tc>
        <w:tc>
          <w:tcPr/>
          <w:p>
            <w:pPr>
              <w:pStyle w:val="Compact"/>
            </w:pPr>
            <w:r>
              <w:t xml:space="preserve">T1 (report-only first)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Privileged accounts have phishing-resistant methods</w:t>
            </w:r>
          </w:p>
        </w:tc>
        <w:tc>
          <w:tcPr/>
          <w:p>
            <w:pPr>
              <w:pStyle w:val="Compact"/>
            </w:pPr>
            <w:r>
              <w:t xml:space="preserve">Hybrid-touching (certificate-based auth accelerates)</w:t>
            </w:r>
          </w:p>
        </w:tc>
        <w:tc>
          <w:tcPr/>
          <w:p>
            <w:pPr>
              <w:pStyle w:val="Compact"/>
            </w:pPr>
            <w:r>
              <w:t xml:space="preserve">T1→T2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All privileged role assignments are just-in-time</w:t>
            </w:r>
          </w:p>
        </w:tc>
        <w:tc>
          <w:tcPr/>
          <w:p>
            <w:pPr>
              <w:pStyle w:val="Compact"/>
            </w:pPr>
            <w:r>
              <w:t xml:space="preserve">Hybrid-touching</w:t>
            </w:r>
          </w:p>
        </w:tc>
        <w:tc>
          <w:tcPr/>
          <w:p>
            <w:pPr>
              <w:pStyle w:val="Compact"/>
            </w:pPr>
            <w:r>
              <w:t xml:space="preserve">T2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Privileged accounts are cloud-native identities</w:t>
            </w:r>
          </w:p>
        </w:tc>
        <w:tc>
          <w:tcPr/>
          <w:p>
            <w:pPr>
              <w:pStyle w:val="Compact"/>
            </w:pPr>
            <w:r>
              <w:t xml:space="preserve">Legacy-blocking</w:t>
            </w:r>
          </w:p>
        </w:tc>
        <w:tc>
          <w:tcPr/>
          <w:p>
            <w:pPr>
              <w:pStyle w:val="Compact"/>
            </w:pPr>
            <w:r>
              <w:t xml:space="preserve">T2→T3</w:t>
            </w:r>
          </w:p>
        </w:tc>
      </w:tr>
      <w:tr>
        <w:tc>
          <w:tcPr/>
          <w:p>
            <w:pPr>
              <w:pStyle w:val="Compact"/>
            </w:pPr>
            <w:r>
              <w:t xml:space="preserve">Use cloud authentication</w:t>
            </w:r>
          </w:p>
        </w:tc>
        <w:tc>
          <w:tcPr/>
          <w:p>
            <w:pPr>
              <w:pStyle w:val="Compact"/>
            </w:pPr>
            <w:r>
              <w:t xml:space="preserve">Legacy-blocking (federation migration)</w:t>
            </w:r>
          </w:p>
        </w:tc>
        <w:tc>
          <w:tcPr/>
          <w:p>
            <w:pPr>
              <w:pStyle w:val="Compact"/>
            </w:pPr>
            <w:r>
              <w:t xml:space="preserve">T3</w:t>
            </w:r>
          </w:p>
        </w:tc>
      </w:tr>
      <w:tr>
        <w:tc>
          <w:tcPr/>
          <w:p>
            <w:pPr>
              <w:pStyle w:val="Compact"/>
            </w:pPr>
            <w:r>
              <w:t xml:space="preserve">All sign-in activity from managed devices</w:t>
            </w:r>
          </w:p>
        </w:tc>
        <w:tc>
          <w:tcPr/>
          <w:p>
            <w:pPr>
              <w:pStyle w:val="Compact"/>
            </w:pPr>
            <w:r>
              <w:t xml:space="preserve">Legacy-blocking (device-management maturity)</w:t>
            </w:r>
          </w:p>
        </w:tc>
        <w:tc>
          <w:tcPr/>
          <w:p>
            <w:pPr>
              <w:pStyle w:val="Compact"/>
            </w:pPr>
            <w:r>
              <w:t xml:space="preserve">T3</w:t>
            </w:r>
          </w:p>
        </w:tc>
      </w:tr>
      <w:tr>
        <w:tc>
          <w:tcPr/>
          <w:p>
            <w:pPr>
              <w:pStyle w:val="Compact"/>
            </w:pPr>
            <w:r>
              <w:t xml:space="preserve">Token protection policies</w:t>
            </w:r>
          </w:p>
        </w:tc>
        <w:tc>
          <w:tcPr/>
          <w:p>
            <w:pPr>
              <w:pStyle w:val="Compact"/>
            </w:pPr>
            <w:r>
              <w:t xml:space="preserve">Legacy-blocking (device join maturity)</w:t>
            </w:r>
          </w:p>
        </w:tc>
        <w:tc>
          <w:tcPr/>
          <w:p>
            <w:pPr>
              <w:pStyle w:val="Compact"/>
            </w:pPr>
            <w:r>
              <w:t xml:space="preserve">T3</w:t>
            </w:r>
          </w:p>
        </w:tc>
      </w:tr>
    </w:tbl>
    <w:bookmarkEnd w:id="15"/>
    <w:bookmarkStart w:id="16" w:name="sequencing-implication"/>
    <w:p>
      <w:pPr>
        <w:pStyle w:val="Heading2"/>
      </w:pPr>
      <w:r>
        <w:t xml:space="preserve">5. Sequencing implication</w:t>
      </w:r>
    </w:p>
    <w:p>
      <w:pPr>
        <w:pStyle w:val="FirstParagraph"/>
      </w:pPr>
      <w:r>
        <w:t xml:space="preserve">Start with the T0/T1 cloud-only controls (consent, guest restrictions, break-glass, logging, legacy-auth report-only). Treat network-protection and AI themes as gated evaluations. Treat device-dependent and federation-dependent controls as multi-quarter programs that consume the attribute and device-modernization workstreams already described elsewhere in this workbook.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 This is a pedagogical planning artifact, not a runbook. Verify government-cloud availability against current vendor documentation before sequencing.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2026-10-19T10:10:45Z</dcterms:created>
  <dcterms:modified xsi:type="dcterms:W3CDTF">2026-10-19T10:10:45Z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