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4" w:name="X0018e67ba6edc38f16ac86134d85569dee6f81b"/>
    <w:p>
      <w:pPr>
        <w:pStyle w:val="Heading1"/>
      </w:pPr>
      <w:r>
        <w:t xml:space="preserve">Old AD vs New Entra ID — A Foundational Reference</w:t>
      </w:r>
    </w:p>
    <w:p>
      <w:pPr>
        <w:pStyle w:val="FirstParagraph"/>
      </w:pPr>
      <w:r>
        <w:rPr>
          <w:b/>
          <w:bCs/>
        </w:rPr>
        <w:t xml:space="preserve">Languages, protocols, cryptography, APIs, IaC, CI/CD, governance, and hybrid bridges across the AD-to-Entra transition</w:t>
      </w:r>
    </w:p>
    <w:bookmarkStart w:id="9" w:name="the-shift-in-one-paragraph"/>
    <w:p>
      <w:pPr>
        <w:pStyle w:val="Heading2"/>
      </w:pPr>
      <w:r>
        <w:t xml:space="preserve">1. The shift in one paragraph</w:t>
      </w:r>
    </w:p>
    <w:p>
      <w:pPr>
        <w:pStyle w:val="FirstParagraph"/>
      </w:pPr>
      <w:r>
        <w:t xml:space="preserve">Microsoft identity moved from a</w:t>
      </w:r>
      <w:r>
        <w:t xml:space="preserve"> </w:t>
      </w:r>
      <w:r>
        <w:rPr>
          <w:b/>
          <w:bCs/>
        </w:rPr>
        <w:t xml:space="preserve">directory-and-tickets</w:t>
      </w:r>
      <w:r>
        <w:t xml:space="preserve"> </w:t>
      </w:r>
      <w:r>
        <w:t xml:space="preserve">world to a</w:t>
      </w:r>
      <w:r>
        <w:t xml:space="preserve"> </w:t>
      </w:r>
      <w:r>
        <w:rPr>
          <w:b/>
          <w:bCs/>
        </w:rPr>
        <w:t xml:space="preserve">token-and-API</w:t>
      </w:r>
      <w:r>
        <w:t xml:space="preserve"> </w:t>
      </w:r>
      <w:r>
        <w:t xml:space="preserve">world. In the old world, an on-premises Active Directory domain controller was the trust root: it issued Kerberos tickets, answered LDAP queries, and replicated SYSVOL over SMB. Clients spoke proprietary or directory-specific protocols (Kerberos, NTLM, LDAP, MS-RPC) directly against domain controllers; cryptography was MD4 / RC4 / SHA-1 with AES bolted on later; admins automated against COM objects and ActiveDirectory PowerShell cmdlets. In the new world, the cloud identity platform is the trust root: it issues OAuth 2.0 access tokens and OpenID Connect ID tokens, exposes everything through a REST API, and federates with SaaS via SAML and OIDC. Cryptography is JWS signatures (RS256, ES256, ES384), TLS 1.2+, FIPS-validated HSM-backed keys, FIDO2 / WebAuthn for users, and certificate-based auth for privileged personnel. Admins automate against modern SDKs, and the operating environment around identity is Infrastructure-as-Code plus CI-as-Code plus Compliance-as-Code — three layers that essentially did not exist around old Active Directory.</w:t>
      </w:r>
    </w:p>
    <w:p>
      <w:pPr>
        <w:pStyle w:val="BlockText"/>
      </w:pPr>
      <w:r>
        <w:t xml:space="preserve">The languages mostly carry over; the protocols change wholesale, the cryptography modernizes, and new layers stack on top.</w:t>
      </w:r>
    </w:p>
    <w:bookmarkEnd w:id="9"/>
    <w:bookmarkStart w:id="10" w:name="the-world-at-a-glance"/>
    <w:p>
      <w:pPr>
        <w:pStyle w:val="Heading2"/>
      </w:pPr>
      <w:r>
        <w:t xml:space="preserve">2. The world at a glance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05"/>
        <w:gridCol w:w="2810"/>
        <w:gridCol w:w="37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Old Active Directory</w:t>
            </w:r>
          </w:p>
        </w:tc>
        <w:tc>
          <w:tcPr/>
          <w:p>
            <w:pPr>
              <w:pStyle w:val="Compact"/>
            </w:pPr>
            <w:r>
              <w:t xml:space="preserve">New cloud identity 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Trust root</w:t>
            </w:r>
          </w:p>
        </w:tc>
        <w:tc>
          <w:tcPr/>
          <w:p>
            <w:pPr>
              <w:pStyle w:val="Compact"/>
            </w:pPr>
            <w:r>
              <w:t xml:space="preserve">On-prem domain controllers + KDC</w:t>
            </w:r>
          </w:p>
        </w:tc>
        <w:tc>
          <w:tcPr/>
          <w:p>
            <w:pPr>
              <w:pStyle w:val="Compact"/>
            </w:pPr>
            <w:r>
              <w:t xml:space="preserve">Cloud identity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Primary auth protocol</w:t>
            </w:r>
          </w:p>
        </w:tc>
        <w:tc>
          <w:tcPr/>
          <w:p>
            <w:pPr>
              <w:pStyle w:val="Compact"/>
            </w:pPr>
            <w:r>
              <w:t xml:space="preserve">Kerberos v5; NTLM (legacy)</w:t>
            </w:r>
          </w:p>
        </w:tc>
        <w:tc>
          <w:tcPr/>
          <w:p>
            <w:pPr>
              <w:pStyle w:val="Compact"/>
            </w:pPr>
            <w:r>
              <w:t xml:space="preserve">OAuth 2.0 + OpenID Connect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Directory wire protocol</w:t>
            </w:r>
          </w:p>
        </w:tc>
        <w:tc>
          <w:tcPr/>
          <w:p>
            <w:pPr>
              <w:pStyle w:val="Compact"/>
            </w:pPr>
            <w:r>
              <w:t xml:space="preserve">LDAP / LDAPS</w:t>
            </w:r>
          </w:p>
        </w:tc>
        <w:tc>
          <w:tcPr/>
          <w:p>
            <w:pPr>
              <w:pStyle w:val="Compact"/>
            </w:pPr>
            <w:r>
              <w:t xml:space="preserve">REST API over HTTPS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Federation</w:t>
            </w:r>
          </w:p>
        </w:tc>
        <w:tc>
          <w:tcPr/>
          <w:p>
            <w:pPr>
              <w:pStyle w:val="Compact"/>
            </w:pPr>
            <w:r>
              <w:t xml:space="preserve">WS-Federation, WS-Trust, SAML (via federation service)</w:t>
            </w:r>
          </w:p>
        </w:tc>
        <w:tc>
          <w:tcPr/>
          <w:p>
            <w:pPr>
              <w:pStyle w:val="Compact"/>
            </w:pPr>
            <w:r>
              <w:t xml:space="preserve">OIDC primary; SAML 2.0 supported; WS-Fed legacy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Multi-factor auth</w:t>
            </w:r>
          </w:p>
        </w:tc>
        <w:tc>
          <w:tcPr/>
          <w:p>
            <w:pPr>
              <w:pStyle w:val="Compact"/>
            </w:pPr>
            <w:r>
              <w:t xml:space="preserve">Smartcard via certificate services; hardware tokens</w:t>
            </w:r>
          </w:p>
        </w:tc>
        <w:tc>
          <w:tcPr/>
          <w:p>
            <w:pPr>
              <w:pStyle w:val="Compact"/>
            </w:pPr>
            <w:r>
              <w:t xml:space="preserve">FIDO2/WebAuthn, Certificate-Based Auth, Authenticator app, OATH-TOTP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hash</w:t>
            </w:r>
          </w:p>
        </w:tc>
        <w:tc>
          <w:tcPr/>
          <w:p>
            <w:pPr>
              <w:pStyle w:val="Compact"/>
            </w:pPr>
            <w:r>
              <w:t xml:space="preserve">NT hash (MD4)</w:t>
            </w:r>
          </w:p>
        </w:tc>
        <w:tc>
          <w:tcPr/>
          <w:p>
            <w:pPr>
              <w:pStyle w:val="Compact"/>
            </w:pPr>
            <w:r>
              <w:t xml:space="preserve">PBKDF2-HMAC-SHA256, stored in HSM-backed boundary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Session unit</w:t>
            </w:r>
          </w:p>
        </w:tc>
        <w:tc>
          <w:tcPr/>
          <w:p>
            <w:pPr>
              <w:pStyle w:val="Compact"/>
            </w:pPr>
            <w:r>
              <w:t xml:space="preserve">Kerberos TGT + Service Tickets</w:t>
            </w:r>
          </w:p>
        </w:tc>
        <w:tc>
          <w:tcPr/>
          <w:p>
            <w:pPr>
              <w:pStyle w:val="Compact"/>
            </w:pPr>
            <w:r>
              <w:t xml:space="preserve">JWT access tokens + ID tokens + refresh tokens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plane</w:t>
            </w:r>
          </w:p>
        </w:tc>
        <w:tc>
          <w:tcPr/>
          <w:p>
            <w:pPr>
              <w:pStyle w:val="Compact"/>
            </w:pPr>
            <w:r>
              <w:t xml:space="preserve">Group Policy Objects</w:t>
            </w:r>
          </w:p>
        </w:tc>
        <w:tc>
          <w:tcPr/>
          <w:p>
            <w:pPr>
              <w:pStyle w:val="Compact"/>
            </w:pPr>
            <w:r>
              <w:t xml:space="preserve">Conditional Access; device-management policy; Authentication Methods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lifecycle</w:t>
            </w:r>
          </w:p>
        </w:tc>
        <w:tc>
          <w:tcPr/>
          <w:p>
            <w:pPr>
              <w:pStyle w:val="Compact"/>
            </w:pPr>
            <w:r>
              <w:t xml:space="preserve">Manual directory tools</w:t>
            </w:r>
          </w:p>
        </w:tc>
        <w:tc>
          <w:tcPr/>
          <w:p>
            <w:pPr>
              <w:pStyle w:val="Compact"/>
            </w:pPr>
            <w:r>
              <w:t xml:space="preserve">Identity governance; lifecycle workflows; access reviews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Provisioning to apps</w:t>
            </w:r>
          </w:p>
        </w:tc>
        <w:tc>
          <w:tcPr/>
          <w:p>
            <w:pPr>
              <w:pStyle w:val="Compact"/>
            </w:pPr>
            <w:r>
              <w:t xml:space="preserve">LDAP binds; custom connectors</w:t>
            </w:r>
          </w:p>
        </w:tc>
        <w:tc>
          <w:tcPr/>
          <w:p>
            <w:pPr>
              <w:pStyle w:val="Compact"/>
            </w:pPr>
            <w:r>
              <w:t xml:space="preserve">SCIM 2.0 (outbound)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pipeline</w:t>
            </w:r>
          </w:p>
        </w:tc>
        <w:tc>
          <w:tcPr/>
          <w:p>
            <w:pPr>
              <w:pStyle w:val="Compact"/>
            </w:pPr>
            <w:r>
              <w:t xml:space="preserve">Windows Security Event Log; SIEM forwarding</w:t>
            </w:r>
          </w:p>
        </w:tc>
        <w:tc>
          <w:tcPr/>
          <w:p>
            <w:pPr>
              <w:pStyle w:val="Compact"/>
            </w:pPr>
            <w:r>
              <w:t xml:space="preserve">Sign-in and audit logs; SIEM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Infrastructure-as-Code</w:t>
            </w:r>
          </w:p>
        </w:tc>
        <w:tc>
          <w:tcPr/>
          <w:p>
            <w:pPr>
              <w:pStyle w:val="Compact"/>
            </w:pPr>
            <w:r>
              <w:t xml:space="preserve">Essentially none native</w:t>
            </w:r>
          </w:p>
        </w:tc>
        <w:tc>
          <w:tcPr/>
          <w:p>
            <w:pPr>
              <w:pStyle w:val="Compact"/>
            </w:pPr>
            <w:r>
              <w:t xml:space="preserve">Bicep, ARM templates, Terraform, Pulumi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CI-as-Code</w:t>
            </w:r>
          </w:p>
        </w:tc>
        <w:tc>
          <w:tcPr/>
          <w:p>
            <w:pPr>
              <w:pStyle w:val="Compact"/>
            </w:pPr>
            <w:r>
              <w:t xml:space="preserve">Essentially none</w:t>
            </w:r>
          </w:p>
        </w:tc>
        <w:tc>
          <w:tcPr/>
          <w:p>
            <w:pPr>
              <w:pStyle w:val="Compact"/>
            </w:pPr>
            <w:r>
              <w:t xml:space="preserve">YAML pipelines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authoring</w:t>
            </w:r>
          </w:p>
        </w:tc>
        <w:tc>
          <w:tcPr/>
          <w:p>
            <w:pPr>
              <w:pStyle w:val="Compact"/>
            </w:pPr>
            <w:r>
              <w:t xml:space="preserve">Word + Excel SSP documents</w:t>
            </w:r>
          </w:p>
        </w:tc>
        <w:tc>
          <w:tcPr/>
          <w:p>
            <w:pPr>
              <w:pStyle w:val="Compact"/>
            </w:pPr>
            <w:r>
              <w:t xml:space="preserve">OSCAL (Catalog, Profile, Component Definition, SSP, AP, AR, POA&amp;M)</w:t>
            </w:r>
          </w:p>
        </w:tc>
      </w:tr>
    </w:tbl>
    <w:bookmarkEnd w:id="10"/>
    <w:bookmarkStart w:id="19" w:name="languages-and-where-they-fit"/>
    <w:p>
      <w:pPr>
        <w:pStyle w:val="Heading2"/>
      </w:pPr>
      <w:r>
        <w:t xml:space="preserve">3. Languages and where they fit</w:t>
      </w:r>
    </w:p>
    <w:bookmarkStart w:id="11" w:name="c"/>
    <w:p>
      <w:pPr>
        <w:pStyle w:val="Heading3"/>
      </w:pPr>
      <w:r>
        <w:t xml:space="preserve">C++</w:t>
      </w:r>
    </w:p>
    <w:p>
      <w:pPr>
        <w:pStyle w:val="FirstParagraph"/>
      </w:pPr>
      <w:r>
        <w:t xml:space="preserve">Native server tier for Active Directory itself. Client-side ADSI, LDAP, Kerberos SSPI, NTLM. Almost no greenfield cloud apps start in C++.</w:t>
      </w:r>
    </w:p>
    <w:bookmarkEnd w:id="11"/>
    <w:bookmarkStart w:id="12" w:name="visual-basic-family"/>
    <w:p>
      <w:pPr>
        <w:pStyle w:val="Heading3"/>
      </w:pPr>
      <w:r>
        <w:t xml:space="preserve">Visual Basic family</w:t>
      </w:r>
    </w:p>
    <w:p>
      <w:pPr>
        <w:pStyle w:val="FirstParagraph"/>
      </w:pPr>
      <w:r>
        <w:t xml:space="preserve">Massive historical footprint for directory administration (VBScript logon scripts, Office macros). Effectively retired for new identity work; use PowerShell or C#.</w:t>
      </w:r>
    </w:p>
    <w:bookmarkEnd w:id="12"/>
    <w:bookmarkStart w:id="13" w:name="net"/>
    <w:p>
      <w:pPr>
        <w:pStyle w:val="Heading3"/>
      </w:pPr>
      <w:r>
        <w:t xml:space="preserve">.NET</w:t>
      </w:r>
    </w:p>
    <w:p>
      <w:pPr>
        <w:pStyle w:val="FirstParagraph"/>
      </w:pPr>
      <w:r>
        <w:t xml:space="preserve">Dominant in both worlds. Old: System.DirectoryServices, System.DirectoryServices.AccountManagement. New: MSAL.NET, Microsoft.Identity.Web, Graph SDK, Azure.Identity.</w:t>
      </w:r>
    </w:p>
    <w:bookmarkEnd w:id="13"/>
    <w:bookmarkStart w:id="14" w:name="python"/>
    <w:p>
      <w:pPr>
        <w:pStyle w:val="Heading3"/>
      </w:pPr>
      <w:r>
        <w:t xml:space="preserve">Python</w:t>
      </w:r>
    </w:p>
    <w:p>
      <w:pPr>
        <w:pStyle w:val="FirstParagraph"/>
      </w:pPr>
      <w:r>
        <w:t xml:space="preserve">Growing for governance and automation. Old: python-ldap, ldap3, pywin32. New: MSAL for Python, Graph SDK, azure-identity.</w:t>
      </w:r>
    </w:p>
    <w:bookmarkEnd w:id="14"/>
    <w:bookmarkStart w:id="15" w:name="powershell"/>
    <w:p>
      <w:pPr>
        <w:pStyle w:val="Heading3"/>
      </w:pPr>
      <w:r>
        <w:t xml:space="preserve">PowerShell</w:t>
      </w:r>
    </w:p>
    <w:p>
      <w:pPr>
        <w:pStyle w:val="FirstParagraph"/>
      </w:pPr>
      <w:r>
        <w:t xml:space="preserve">Remained the primary Microsoft admin language through the transition. Same scripts, different modules (ActiveDirectory → Microsoft.Graph, Az).</w:t>
      </w:r>
    </w:p>
    <w:bookmarkEnd w:id="15"/>
    <w:bookmarkStart w:id="16" w:name="yaml"/>
    <w:p>
      <w:pPr>
        <w:pStyle w:val="Heading3"/>
      </w:pPr>
      <w:r>
        <w:t xml:space="preserve">YAML</w:t>
      </w:r>
    </w:p>
    <w:p>
      <w:pPr>
        <w:pStyle w:val="FirstParagraph"/>
      </w:pPr>
      <w:r>
        <w:t xml:space="preserve">Edge use only in the old world. Native to the new stack (pipelines, Bicep parameter files, Conditional Access as Code, desired-state configurations).</w:t>
      </w:r>
    </w:p>
    <w:bookmarkEnd w:id="16"/>
    <w:bookmarkStart w:id="17" w:name="typescript-javascript"/>
    <w:p>
      <w:pPr>
        <w:pStyle w:val="Heading3"/>
      </w:pPr>
      <w:r>
        <w:t xml:space="preserve">TypeScript / JavaScript</w:t>
      </w:r>
    </w:p>
    <w:p>
      <w:pPr>
        <w:pStyle w:val="FirstParagraph"/>
      </w:pPr>
      <w:r>
        <w:t xml:space="preserve">Rare in old Active Directory. First-class in the new world (MSAL.js, Graph client, SPA apps using PKCE).</w:t>
      </w:r>
    </w:p>
    <w:bookmarkEnd w:id="17"/>
    <w:bookmarkStart w:id="18" w:name="go-java-rust"/>
    <w:p>
      <w:pPr>
        <w:pStyle w:val="Heading3"/>
      </w:pPr>
      <w:r>
        <w:t xml:space="preserve">Go, Java, Rust</w:t>
      </w:r>
    </w:p>
    <w:p>
      <w:pPr>
        <w:pStyle w:val="FirstParagraph"/>
      </w:pPr>
      <w:r>
        <w:t xml:space="preserve">Java had a large enterprise footprint via JNDI + LDAP. All three have growing cloud SDKs; C# and PowerShell remain the most common Microsoft-stack paths.</w:t>
      </w:r>
    </w:p>
    <w:bookmarkEnd w:id="18"/>
    <w:bookmarkEnd w:id="19"/>
    <w:bookmarkStart w:id="22" w:name="authentication-and-federation-protocols"/>
    <w:p>
      <w:pPr>
        <w:pStyle w:val="Heading2"/>
      </w:pPr>
      <w:r>
        <w:t xml:space="preserve">4. Authentication and federation protocols</w:t>
      </w:r>
    </w:p>
    <w:bookmarkStart w:id="20" w:name="old-protocol-stack"/>
    <w:p>
      <w:pPr>
        <w:pStyle w:val="Heading3"/>
      </w:pPr>
      <w:r>
        <w:t xml:space="preserve">Old protocol stack</w:t>
      </w:r>
    </w:p>
    <w:p>
      <w:pPr>
        <w:pStyle w:val="FirstParagraph"/>
      </w:pPr>
      <w:r>
        <w:t xml:space="preserve">Kerberos v5 (RFC 4120), Kerberos FAST, SPNEGO, NTLMv1/v2, MS-PAC, LDAP/LDAPS, LDAP + SASL/GSSAPI, MS-RPC, SMB, WS-Trust / WS-Federation, SAML 1.1/2.0, Group Policy Protocol.</w:t>
      </w:r>
    </w:p>
    <w:bookmarkEnd w:id="20"/>
    <w:bookmarkStart w:id="21" w:name="new-protocol-stack"/>
    <w:p>
      <w:pPr>
        <w:pStyle w:val="Heading3"/>
      </w:pPr>
      <w:r>
        <w:t xml:space="preserve">New protocol stack</w:t>
      </w:r>
    </w:p>
    <w:p>
      <w:pPr>
        <w:pStyle w:val="FirstParagraph"/>
      </w:pPr>
      <w:r>
        <w:t xml:space="preserve">OAuth 2.0 (RFC 6749), OpenID Connect, SCIM 2.0, SAML 2.0 (still supported), DPoP, mTLS-bound tokens, FIDO2/WebAuthn, Certificate-Based Authentication.</w:t>
      </w:r>
    </w:p>
    <w:p>
      <w:pPr>
        <w:pStyle w:val="BodyText"/>
      </w:pPr>
      <w:r>
        <w:t xml:space="preserve">NTLM and Kerberos produce no token that a Conditional Access engine can observe. OAuth/OIDC tokens are the unit that Conditional Access evaluates.</w:t>
      </w:r>
    </w:p>
    <w:bookmarkEnd w:id="21"/>
    <w:bookmarkEnd w:id="22"/>
    <w:bookmarkStart w:id="23" w:name="why-the-shift-matters"/>
    <w:p>
      <w:pPr>
        <w:pStyle w:val="Heading2"/>
      </w:pPr>
      <w:r>
        <w:t xml:space="preserve">5. Why the shift matters</w:t>
      </w:r>
    </w:p>
    <w:p>
      <w:pPr>
        <w:pStyle w:val="FirstParagraph"/>
      </w:pPr>
      <w:r>
        <w:t xml:space="preserve">The languages mostly carry over. The protocols, the cryptography, the session unit, and the policy plane do not. Any modernization program that treats the transition as a tooling swap rather than a protocol and governance shift will preserve the silent-failure modes of the old world (NTLM fallback, missing service principal names, opaque SQL Authentication) inside the new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Full original contains additional protocol, cryptography, API, and hybrid-bridge sections.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2026-10-19T10:10:45Z</dcterms:created>
  <dcterms:modified xsi:type="dcterms:W3CDTF">2026-10-19T10:10:45Z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