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1" w:name="libraries-principles-extracts"/>
    <w:p>
      <w:pPr>
        <w:pStyle w:val="Heading1"/>
      </w:pPr>
      <w:r>
        <w:t xml:space="preserve">Libraries — Principles Extracts</w:t>
      </w:r>
    </w:p>
    <w:p>
      <w:pPr>
        <w:pStyle w:val="FirstParagraph"/>
      </w:pPr>
      <w:r>
        <w:t xml:space="preserve">Short, cleaned extracts from the large operational libraries in the source repository. These pages capture program-level principles only. The full catalogs, settings tables, and JSON templates remain in the original repository.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1"/>
        <w:gridCol w:w="54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Conditional Access principles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Additive evaluation model, block-overrides-grant, report-only deployment, break-glass procedure, and GPO-to-CA transformation overview.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Group Policy Object sunset principles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Seven-phase methodology, co-management decision matrix, assignment strategy, regenerate-not-copy framing, and conflict handling.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extractions for project use.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conditional-access-principles.md" TargetMode="External" /><Relationship Type="http://schemas.openxmlformats.org/officeDocument/2006/relationships/hyperlink" Id="rId10" Target="gpo-sunset-principle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conditional-access-principles.md" TargetMode="External" /><Relationship Type="http://schemas.openxmlformats.org/officeDocument/2006/relationships/hyperlink" Id="rId10" Target="gpo-sunset-principle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2026-10-19T10:12:04Z</dcterms:created>
  <dcterms:modified xsi:type="dcterms:W3CDTF">2026-10-19T10:12:04Z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