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8" w:name="X2d590b4fa9ba754dcb58e47942332e13bb816bd"/>
    <w:p>
      <w:pPr>
        <w:pStyle w:val="Heading1"/>
      </w:pPr>
      <w:r>
        <w:t xml:space="preserve">Group Policy Object Sunset — Methodology Principles</w:t>
      </w:r>
    </w:p>
    <w:p>
      <w:pPr>
        <w:pStyle w:val="FirstParagraph"/>
      </w:pPr>
      <w:r>
        <w:rPr>
          <w:b/>
          <w:bCs/>
        </w:rPr>
        <w:t xml:space="preserve">Short extract from the GPO Sunset Program / Intune Policy Templates</w:t>
      </w:r>
    </w:p>
    <w:bookmarkStart w:id="9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This page captures the methodology for retiring Group Policy Objects on an existing fleet and replacing them with device-management policies. It is distinct from net-new device onboarding and from the broader “regenerate, not copy” philosophy.</w:t>
      </w:r>
    </w:p>
    <w:bookmarkEnd w:id="9"/>
    <w:bookmarkStart w:id="10" w:name="three-related-but-distinct-programs"/>
    <w:p>
      <w:pPr>
        <w:pStyle w:val="Heading2"/>
      </w:pPr>
      <w:r>
        <w:t xml:space="preserve">Three related but distinct programs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Net-new device onboarding</w:t>
      </w:r>
      <w:r>
        <w:t xml:space="preserve"> </w:t>
      </w:r>
      <w:r>
        <w:t xml:space="preserve">— governance at procurement time for devices that have never been domain-joined.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Existing-fleet Group Policy Object sunset</w:t>
      </w:r>
      <w:r>
        <w:t xml:space="preserve"> </w:t>
      </w:r>
      <w:r>
        <w:rPr>
          <w:i/>
          <w:iCs/>
        </w:rPr>
        <w:t xml:space="preserve">(this page)</w:t>
      </w:r>
      <w:r>
        <w:t xml:space="preserve"> </w:t>
      </w:r>
      <w:r>
        <w:t xml:space="preserve">— replacement of Group Policy Objects on currently deployed endpoints, ending in formal Group Policy Object retirement.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Regenerate, not copy</w:t>
      </w:r>
      <w:r>
        <w:t xml:space="preserve"> </w:t>
      </w:r>
      <w:r>
        <w:t xml:space="preserve">— the philosophy governing how replacement policies are authored. Not a separate program.</w:t>
      </w:r>
    </w:p>
    <w:bookmarkEnd w:id="10"/>
    <w:bookmarkStart w:id="11" w:name="seven-phase-shape-illustrative"/>
    <w:p>
      <w:pPr>
        <w:pStyle w:val="Heading2"/>
      </w:pPr>
      <w:r>
        <w:t xml:space="preserve">Seven-phase shape (illustrative)</w:t>
      </w:r>
    </w:p>
    <w:p>
      <w:pPr>
        <w:pStyle w:val="Compact"/>
        <w:numPr>
          <w:ilvl w:val="0"/>
          <w:numId w:val="1002"/>
        </w:numPr>
      </w:pPr>
      <w:r>
        <w:t xml:space="preserve">Inventory and assessment of existing Group Policy Objects.</w:t>
      </w:r>
    </w:p>
    <w:p>
      <w:pPr>
        <w:pStyle w:val="Compact"/>
        <w:numPr>
          <w:ilvl w:val="0"/>
          <w:numId w:val="1002"/>
        </w:numPr>
      </w:pPr>
      <w:r>
        <w:t xml:space="preserve">Classification of each Group Policy Object (retire, regenerate, or retain temporarily).</w:t>
      </w:r>
    </w:p>
    <w:p>
      <w:pPr>
        <w:pStyle w:val="Compact"/>
        <w:numPr>
          <w:ilvl w:val="0"/>
          <w:numId w:val="1002"/>
        </w:numPr>
      </w:pPr>
      <w:r>
        <w:t xml:space="preserve">Author replacement policies under the regenerate-not-copy philosophy.</w:t>
      </w:r>
    </w:p>
    <w:p>
      <w:pPr>
        <w:pStyle w:val="Compact"/>
        <w:numPr>
          <w:ilvl w:val="0"/>
          <w:numId w:val="1002"/>
        </w:numPr>
      </w:pPr>
      <w:r>
        <w:t xml:space="preserve">Pilot on a controlled cohort.</w:t>
      </w:r>
    </w:p>
    <w:p>
      <w:pPr>
        <w:pStyle w:val="Compact"/>
        <w:numPr>
          <w:ilvl w:val="0"/>
          <w:numId w:val="1002"/>
        </w:numPr>
      </w:pPr>
      <w:r>
        <w:t xml:space="preserve">Expand with continuous validation.</w:t>
      </w:r>
    </w:p>
    <w:p>
      <w:pPr>
        <w:pStyle w:val="Compact"/>
        <w:numPr>
          <w:ilvl w:val="0"/>
          <w:numId w:val="1002"/>
        </w:numPr>
      </w:pPr>
      <w:r>
        <w:t xml:space="preserve">Coexistence period with last-writer-wins monitoring.</w:t>
      </w:r>
    </w:p>
    <w:p>
      <w:pPr>
        <w:pStyle w:val="Compact"/>
        <w:numPr>
          <w:ilvl w:val="0"/>
          <w:numId w:val="1002"/>
        </w:numPr>
      </w:pPr>
      <w:r>
        <w:t xml:space="preserve">Formal retirement of the Group Policy Object once the device-management policy owns the setting.</w:t>
      </w:r>
    </w:p>
    <w:bookmarkEnd w:id="11"/>
    <w:bookmarkStart w:id="12" w:name="co-management-decision-matrix"/>
    <w:p>
      <w:pPr>
        <w:pStyle w:val="Heading2"/>
      </w:pPr>
      <w:r>
        <w:t xml:space="preserve">Co-management decision matrix</w:t>
      </w:r>
    </w:p>
    <w:p>
      <w:pPr>
        <w:pStyle w:val="FirstParagraph"/>
      </w:pPr>
      <w:r>
        <w:t xml:space="preserve">For organizations running a configuration manager alongside device management, co-management enables a phased workload transition. The co-management workload slider determines which authority controls each policy area: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88"/>
        <w:gridCol w:w="3305"/>
        <w:gridCol w:w="1515"/>
        <w:gridCol w:w="241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Workload</w:t>
            </w:r>
          </w:p>
        </w:tc>
        <w:tc>
          <w:tcPr/>
          <w:p>
            <w:pPr>
              <w:pStyle w:val="Compact"/>
            </w:pPr>
            <w:r>
              <w:t xml:space="preserve">Phase 1 (Group Policy + configuration manager)</w:t>
            </w:r>
          </w:p>
        </w:tc>
        <w:tc>
          <w:tcPr/>
          <w:p>
            <w:pPr>
              <w:pStyle w:val="Compact"/>
            </w:pPr>
            <w:r>
              <w:t xml:space="preserve">Phase 2 (co-managed)</w:t>
            </w:r>
          </w:p>
        </w:tc>
        <w:tc>
          <w:tcPr/>
          <w:p>
            <w:pPr>
              <w:pStyle w:val="Compact"/>
            </w:pPr>
            <w:r>
              <w:t xml:space="preserve">Phase 3 (device management only)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Compliance policies</w:t>
            </w:r>
          </w:p>
        </w:tc>
        <w:tc>
          <w:tcPr/>
          <w:p>
            <w:pPr>
              <w:pStyle w:val="Compact"/>
            </w:pPr>
            <w:r>
              <w:t xml:space="preserve">Configuration manager</w:t>
            </w:r>
          </w:p>
        </w:tc>
        <w:tc>
          <w:tcPr/>
          <w:p>
            <w:pPr>
              <w:pStyle w:val="Compact"/>
            </w:pPr>
            <w:r>
              <w:t xml:space="preserve">Pilot device management</w:t>
            </w:r>
          </w:p>
        </w:tc>
        <w:tc>
          <w:tcPr/>
          <w:p>
            <w:pPr>
              <w:pStyle w:val="Compact"/>
            </w:pPr>
            <w:r>
              <w:t xml:space="preserve">Device management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Device configuration</w:t>
            </w:r>
          </w:p>
        </w:tc>
        <w:tc>
          <w:tcPr/>
          <w:p>
            <w:pPr>
              <w:pStyle w:val="Compact"/>
            </w:pPr>
            <w:r>
              <w:t xml:space="preserve">Configuration manager</w:t>
            </w:r>
          </w:p>
        </w:tc>
        <w:tc>
          <w:tcPr/>
          <w:p>
            <w:pPr>
              <w:pStyle w:val="Compact"/>
            </w:pPr>
            <w:r>
              <w:t xml:space="preserve">Pilot device management</w:t>
            </w:r>
          </w:p>
        </w:tc>
        <w:tc>
          <w:tcPr/>
          <w:p>
            <w:pPr>
              <w:pStyle w:val="Compact"/>
            </w:pPr>
            <w:r>
              <w:t xml:space="preserve">Device management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 security</w:t>
            </w:r>
          </w:p>
        </w:tc>
        <w:tc>
          <w:tcPr/>
          <w:p>
            <w:pPr>
              <w:pStyle w:val="Compact"/>
            </w:pPr>
            <w:r>
              <w:t xml:space="preserve">Configuration manager</w:t>
            </w:r>
          </w:p>
        </w:tc>
        <w:tc>
          <w:tcPr/>
          <w:p>
            <w:pPr>
              <w:pStyle w:val="Compact"/>
            </w:pPr>
            <w:r>
              <w:t xml:space="preserve">Pilot device management</w:t>
            </w:r>
          </w:p>
        </w:tc>
        <w:tc>
          <w:tcPr/>
          <w:p>
            <w:pPr>
              <w:pStyle w:val="Compact"/>
            </w:pPr>
            <w:r>
              <w:t xml:space="preserve">Device management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 updates</w:t>
            </w:r>
          </w:p>
        </w:tc>
        <w:tc>
          <w:tcPr/>
          <w:p>
            <w:pPr>
              <w:pStyle w:val="Compact"/>
            </w:pPr>
            <w:r>
              <w:t xml:space="preserve">Configuration manager</w:t>
            </w:r>
          </w:p>
        </w:tc>
        <w:tc>
          <w:tcPr/>
          <w:p>
            <w:pPr>
              <w:pStyle w:val="Compact"/>
            </w:pPr>
            <w:r>
              <w:t xml:space="preserve">Pilot device management</w:t>
            </w:r>
          </w:p>
        </w:tc>
        <w:tc>
          <w:tcPr/>
          <w:p>
            <w:pPr>
              <w:pStyle w:val="Compact"/>
            </w:pPr>
            <w:r>
              <w:t xml:space="preserve">Device management</w:t>
            </w:r>
          </w:p>
        </w:tc>
      </w:tr>
    </w:tbl>
    <w:bookmarkEnd w:id="12"/>
    <w:bookmarkStart w:id="13" w:name="policy-assignment-strategy"/>
    <w:p>
      <w:pPr>
        <w:pStyle w:val="Heading2"/>
      </w:pPr>
      <w:r>
        <w:t xml:space="preserve">Policy assignment strategy</w:t>
      </w:r>
    </w:p>
    <w:p>
      <w:pPr>
        <w:pStyle w:val="FirstParagraph"/>
      </w:pPr>
      <w:r>
        <w:t xml:space="preserve">All policies are assigned to dynamic groups based on organizational attributes. This replaces organizational-unit-linked Group Policy Object scoping with attribute-driven, cloud-native targeting: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Include groups</w:t>
      </w:r>
      <w:r>
        <w:t xml:space="preserve"> </w:t>
      </w:r>
      <w:r>
        <w:t xml:space="preserve">— dynamic device groups matching the policy’s intended tier, environment, and role.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Exclude groups</w:t>
      </w:r>
      <w:r>
        <w:t xml:space="preserve"> </w:t>
      </w:r>
      <w:r>
        <w:t xml:space="preserve">— break-glass exclusion groups for emergency override; staging groups during phased rollout.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Filters</w:t>
      </w:r>
      <w:r>
        <w:t xml:space="preserve"> </w:t>
      </w:r>
      <w:r>
        <w:t xml:space="preserve">— assignment filters provide an additional layer of targeting evaluated after group membership.</w:t>
      </w:r>
    </w:p>
    <w:bookmarkEnd w:id="13"/>
    <w:bookmarkStart w:id="14" w:name="assignment-precedence"/>
    <w:p>
      <w:pPr>
        <w:pStyle w:val="Heading2"/>
      </w:pPr>
      <w:r>
        <w:t xml:space="preserve">Assignment precedence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Compliance policies:</w:t>
      </w:r>
      <w:r>
        <w:t xml:space="preserve"> </w:t>
      </w:r>
      <w:r>
        <w:t xml:space="preserve">Most restrictive wins. If a device is in scope of multiple compliance policies, the most restrictive setting value is enforced.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Configuration profiles:</w:t>
      </w:r>
      <w:r>
        <w:t xml:space="preserve"> </w:t>
      </w:r>
      <w:r>
        <w:t xml:space="preserve">Last write wins. If two profiles configure the same setting, the most recently processed profile’s value takes effect. Conflicts are reported.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Endpoint security:</w:t>
      </w:r>
      <w:r>
        <w:t xml:space="preserve"> </w:t>
      </w:r>
      <w:r>
        <w:t xml:space="preserve">Endpoint security policies take precedence over configuration profiles for the same setting.</w:t>
      </w:r>
    </w:p>
    <w:bookmarkEnd w:id="14"/>
    <w:bookmarkStart w:id="15" w:name="regenerate-not-copy"/>
    <w:p>
      <w:pPr>
        <w:pStyle w:val="Heading2"/>
      </w:pPr>
      <w:r>
        <w:t xml:space="preserve">Regenerate, not copy</w:t>
      </w:r>
    </w:p>
    <w:p>
      <w:pPr>
        <w:pStyle w:val="FirstParagraph"/>
      </w:pPr>
      <w:r>
        <w:t xml:space="preserve">The mapping from Group Policy Object settings to device-management equivalents is a</w:t>
      </w:r>
      <w:r>
        <w:t xml:space="preserve"> </w:t>
      </w:r>
      <w:r>
        <w:rPr>
          <w:b/>
          <w:bCs/>
        </w:rPr>
        <w:t xml:space="preserve">semantic translation reference</w:t>
      </w:r>
      <w:r>
        <w:t xml:space="preserve">, not a literal 1:1 copy prescription. Engineers use it to answer “what is the closest equivalent for this setting?” Policy authoring decisions follow the regenerate-not-copy philosophy: write the policy for the modern control plane rather than translating every legacy setting verbatim.</w:t>
      </w:r>
    </w:p>
    <w:bookmarkEnd w:id="15"/>
    <w:bookmarkStart w:id="16" w:name="conflict-note"/>
    <w:p>
      <w:pPr>
        <w:pStyle w:val="Heading2"/>
      </w:pPr>
      <w:r>
        <w:t xml:space="preserve">Conflict note</w:t>
      </w:r>
    </w:p>
    <w:p>
      <w:pPr>
        <w:pStyle w:val="FirstParagraph"/>
      </w:pPr>
      <w:r>
        <w:t xml:space="preserve">Where device management and a Group Policy Object target the same setting, last-writer-wins produces unpredictable results. Document overlapping settings before enabling device-management policy in production, and retire the Group Policy Object copy once device management owns the setting.</w:t>
      </w:r>
    </w:p>
    <w:bookmarkEnd w:id="16"/>
    <w:bookmarkStart w:id="17" w:name="full-library"/>
    <w:p>
      <w:pPr>
        <w:pStyle w:val="Heading2"/>
      </w:pPr>
      <w:r>
        <w:t xml:space="preserve">Full library</w:t>
      </w:r>
    </w:p>
    <w:p>
      <w:pPr>
        <w:pStyle w:val="FirstParagraph"/>
      </w:pPr>
      <w:r>
        <w:t xml:space="preserve">The complete policy template library, settings tables, JSON export templates, and 50-row semantic translation reference remain in the source repository. This page captures only the methodology required for program-level understanding.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 for project use. No internal branding or document identifiers.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2026-10-19T10:10:46Z</dcterms:created>
  <dcterms:modified xsi:type="dcterms:W3CDTF">2026-10-19T10:10:46Z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