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4" w:name="cloud-modernization-specification"/>
    <w:p>
      <w:pPr>
        <w:pStyle w:val="Heading1"/>
      </w:pPr>
      <w:r>
        <w:t xml:space="preserve">Cloud Modernization Specification</w:t>
      </w:r>
    </w:p>
    <w:p>
      <w:pPr>
        <w:pStyle w:val="FirstParagraph"/>
      </w:pPr>
      <w:r>
        <w:rPr>
          <w:b/>
          <w:bCs/>
        </w:rPr>
        <w:t xml:space="preserve">Cross-adapter contract for cloud boundary governance and migration</w:t>
      </w:r>
    </w:p>
    <w:p>
      <w:pPr>
        <w:pStyle w:val="BodyText"/>
      </w:pPr>
      <w:r>
        <w:t xml:space="preserve">The cloud domain specification defines the substrate contract for modernizing cloud services under a declared authorization boundary.</w:t>
      </w:r>
    </w:p>
    <w:bookmarkStart w:id="9" w:name="substrate-contract"/>
    <w:p>
      <w:pPr>
        <w:pStyle w:val="Heading2"/>
      </w:pPr>
      <w:r>
        <w:t xml:space="preserve">Substrate contract</w:t>
      </w:r>
    </w:p>
    <w:p>
      <w:pPr>
        <w:pStyle w:val="FirstParagraph"/>
      </w:pPr>
      <w:r>
        <w:t xml:space="preserve">Every cloud adapter inherits:</w:t>
      </w:r>
      <w:r>
        <w:t xml:space="preserve"> </w:t>
      </w:r>
      <w:r>
        <w:t xml:space="preserve">- A declared boundary — either in-boundary or one of a small set of named exceptions.</w:t>
      </w:r>
      <w:r>
        <w:t xml:space="preserve"> </w:t>
      </w:r>
      <w:r>
        <w:t xml:space="preserve">- Endpoint resolution that does not hardcode hostnames.</w:t>
      </w:r>
      <w:r>
        <w:t xml:space="preserve"> </w:t>
      </w:r>
      <w:r>
        <w:t xml:space="preserve">- Fail-closed behavior for unknown clouds.</w:t>
      </w:r>
    </w:p>
    <w:bookmarkEnd w:id="9"/>
    <w:bookmarkStart w:id="10" w:name="boundary-contract"/>
    <w:p>
      <w:pPr>
        <w:pStyle w:val="Heading2"/>
      </w:pPr>
      <w:r>
        <w:t xml:space="preserve">Boundary contract</w:t>
      </w:r>
    </w:p>
    <w:p>
      <w:pPr>
        <w:pStyle w:val="FirstParagraph"/>
      </w:pPr>
      <w:r>
        <w:t xml:space="preserve">Cloud adapters either:</w:t>
      </w:r>
      <w:r>
        <w:t xml:space="preserve"> </w:t>
      </w:r>
      <w:r>
        <w:t xml:space="preserve">1. Operate in-boundary — declare the boundary and read state via in-boundary APIs. Drift findings are scoped to the boundary’s capability disposition.</w:t>
      </w:r>
      <w:r>
        <w:t xml:space="preserve"> </w:t>
      </w:r>
      <w:r>
        <w:t xml:space="preserve">2. Operate via a named exception — declare a discrete exception value. New exceptions require a formal decision; the enumeration is added in lockstep.</w:t>
      </w:r>
    </w:p>
    <w:p>
      <w:pPr>
        <w:pStyle w:val="BodyText"/>
      </w:pPr>
      <w:r>
        <w:t xml:space="preserve">There is no third option. Adapters that require commercial-only APIs cannot register against the boundary without an authorizing decision.</w:t>
      </w:r>
    </w:p>
    <w:bookmarkEnd w:id="10"/>
    <w:bookmarkStart w:id="11" w:name="integration-shape"/>
    <w:p>
      <w:pPr>
        <w:pStyle w:val="Heading2"/>
      </w:pPr>
      <w:r>
        <w:t xml:space="preserve">Integration shape</w:t>
      </w:r>
    </w:p>
    <w:p>
      <w:pPr>
        <w:pStyle w:val="FirstParagraph"/>
      </w:pPr>
      <w:r>
        <w:t xml:space="preserve">Cloud adapter claims carry the canonical provenance envelope plus cloud-specific fields:</w:t>
      </w:r>
    </w:p>
    <w:p>
      <w:pPr>
        <w:pStyle w:val="SourceCode"/>
      </w:pPr>
      <w:r>
        <w:rPr>
          <w:rStyle w:val="VerbatimChar"/>
        </w:rPr>
        <w:t xml:space="preserve">provenance:</w:t>
      </w:r>
      <w:r>
        <w:br/>
      </w:r>
      <w:r>
        <w:rPr>
          <w:rStyle w:val="VerbatimChar"/>
        </w:rPr>
        <w:t xml:space="preserve">  ...</w:t>
      </w:r>
      <w:r>
        <w:br/>
      </w:r>
      <w:r>
        <w:rPr>
          <w:rStyle w:val="VerbatimChar"/>
        </w:rPr>
        <w:t xml:space="preserve">cloud:</w:t>
      </w:r>
      <w:r>
        <w:br/>
      </w:r>
      <w:r>
        <w:rPr>
          <w:rStyle w:val="VerbatimChar"/>
        </w:rPr>
        <w:t xml:space="preserve">  boundary: "declared-boundary"</w:t>
      </w:r>
      <w:r>
        <w:br/>
      </w:r>
      <w:r>
        <w:rPr>
          <w:rStyle w:val="VerbatimChar"/>
        </w:rPr>
        <w:t xml:space="preserve">  tenant_id: "{tenant_id}"</w:t>
      </w:r>
      <w:r>
        <w:br/>
      </w:r>
      <w:r>
        <w:rPr>
          <w:rStyle w:val="VerbatimChar"/>
        </w:rPr>
        <w:t xml:space="preserve">  region: "{region}"</w:t>
      </w:r>
      <w:r>
        <w:br/>
      </w:r>
      <w:r>
        <w:rPr>
          <w:rStyle w:val="VerbatimChar"/>
        </w:rPr>
        <w:t xml:space="preserve">  endpoint_class: "graph-v1.0 | graph-beta | arm | arc"</w:t>
      </w:r>
    </w:p>
    <w:p>
      <w:pPr>
        <w:pStyle w:val="FirstParagraph"/>
      </w:pPr>
      <w:r>
        <w:t xml:space="preserve">The endpoint class is what makes boundary-aware emission possible.</w:t>
      </w:r>
    </w:p>
    <w:bookmarkEnd w:id="11"/>
    <w:bookmarkStart w:id="12" w:name="drift-considerations"/>
    <w:p>
      <w:pPr>
        <w:pStyle w:val="Heading2"/>
      </w:pPr>
      <w:r>
        <w:t xml:space="preserve">Drift considerations</w:t>
      </w:r>
    </w:p>
    <w:p>
      <w:pPr>
        <w:pStyle w:val="Compact"/>
        <w:numPr>
          <w:ilvl w:val="0"/>
          <w:numId w:val="1001"/>
        </w:numPr>
      </w:pPr>
      <w:r>
        <w:t xml:space="preserve">Provenance — boundary crossings often manifest as provenance drift; the chain breaks where a claim crosses the boundary without a derived-classification adjustment.</w:t>
      </w:r>
    </w:p>
    <w:p>
      <w:pPr>
        <w:pStyle w:val="Compact"/>
        <w:numPr>
          <w:ilvl w:val="0"/>
          <w:numId w:val="1001"/>
        </w:numPr>
      </w:pPr>
      <w:r>
        <w:t xml:space="preserve">Schema — API version transitions surface as schema drift if the adapter does not track them.</w:t>
      </w:r>
    </w:p>
    <w:p>
      <w:pPr>
        <w:pStyle w:val="Compact"/>
        <w:numPr>
          <w:ilvl w:val="0"/>
          <w:numId w:val="1001"/>
        </w:numPr>
      </w:pPr>
      <w:r>
        <w:t xml:space="preserve">Authorization — runtime drift if an adapter emits outside its declared cloud scope.</w:t>
      </w:r>
    </w:p>
    <w:bookmarkEnd w:id="12"/>
    <w:bookmarkStart w:id="13" w:name="honest-limits"/>
    <w:p>
      <w:pPr>
        <w:pStyle w:val="Heading2"/>
      </w:pPr>
      <w:r>
        <w:t xml:space="preserve">Honest limits</w:t>
      </w:r>
    </w:p>
    <w:p>
      <w:pPr>
        <w:pStyle w:val="Compact"/>
        <w:numPr>
          <w:ilvl w:val="0"/>
          <w:numId w:val="1002"/>
        </w:numPr>
      </w:pPr>
      <w:r>
        <w:t xml:space="preserve">The named-exception list is canonical and small. New exceptions require formal decisions; programs that need additional cross-boundary capabilities cannot self-authorize.</w:t>
      </w:r>
    </w:p>
    <w:p>
      <w:pPr>
        <w:pStyle w:val="Compact"/>
        <w:numPr>
          <w:ilvl w:val="0"/>
          <w:numId w:val="1002"/>
        </w:numPr>
      </w:pPr>
      <w:r>
        <w:t xml:space="preserve">Platform feature gaps remain agency responsibility; the specification does not eliminate them, it makes them governable.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2026-10-19T10:10:46Z</dcterms:created>
  <dcterms:modified xsi:type="dcterms:W3CDTF">2026-10-19T10:10:46Z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