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2" w:name="identity-modernization-specification"/>
    <w:p>
      <w:pPr>
        <w:pStyle w:val="Heading1"/>
      </w:pPr>
      <w:r>
        <w:t xml:space="preserve">Identity Modernization Specification</w:t>
      </w:r>
    </w:p>
    <w:p>
      <w:pPr>
        <w:pStyle w:val="FirstParagraph"/>
      </w:pPr>
      <w:r>
        <w:rPr>
          <w:b/>
          <w:bCs/>
        </w:rPr>
        <w:t xml:space="preserve">Cross-adapter contract for identity modernization</w:t>
      </w:r>
    </w:p>
    <w:p>
      <w:pPr>
        <w:pStyle w:val="BodyText"/>
      </w:pPr>
      <w:r>
        <w:t xml:space="preserve">The identity domain specification defines the substrate contract for modernizing identity without absorbing vendor idiosyncrasies into the authoritative source.</w:t>
      </w:r>
    </w:p>
    <w:bookmarkStart w:id="9" w:name="contract-requirements"/>
    <w:p>
      <w:pPr>
        <w:pStyle w:val="Heading2"/>
      </w:pPr>
      <w:r>
        <w:t xml:space="preserve">Contract requirements</w:t>
      </w:r>
    </w:p>
    <w:p>
      <w:pPr>
        <w:pStyle w:val="Compact"/>
        <w:numPr>
          <w:ilvl w:val="0"/>
          <w:numId w:val="1001"/>
        </w:numPr>
      </w:pPr>
      <w:r>
        <w:t xml:space="preserve">Dynamic groups are defined by rules over directory attributes.</w:t>
      </w:r>
    </w:p>
    <w:p>
      <w:pPr>
        <w:pStyle w:val="Compact"/>
        <w:numPr>
          <w:ilvl w:val="0"/>
          <w:numId w:val="1001"/>
        </w:numPr>
      </w:pPr>
      <w:r>
        <w:t xml:space="preserve">Administrative units and scoped roles replace traditional organizational-unit-based delegation.</w:t>
      </w:r>
    </w:p>
    <w:p>
      <w:pPr>
        <w:pStyle w:val="Compact"/>
        <w:numPr>
          <w:ilvl w:val="0"/>
          <w:numId w:val="1001"/>
        </w:numPr>
      </w:pPr>
      <w:r>
        <w:t xml:space="preserve">Access is computed from attributes, not assigned by hand.</w:t>
      </w:r>
    </w:p>
    <w:p>
      <w:pPr>
        <w:pStyle w:val="Compact"/>
        <w:numPr>
          <w:ilvl w:val="0"/>
          <w:numId w:val="1001"/>
        </w:numPr>
      </w:pPr>
      <w:r>
        <w:t xml:space="preserve">The attribute-to-access rule set is itself the audit evidence.</w:t>
      </w:r>
    </w:p>
    <w:bookmarkEnd w:id="9"/>
    <w:bookmarkStart w:id="10" w:name="integration-shape"/>
    <w:p>
      <w:pPr>
        <w:pStyle w:val="Heading2"/>
      </w:pPr>
      <w:r>
        <w:t xml:space="preserve">Integration shape</w:t>
      </w:r>
    </w:p>
    <w:p>
      <w:pPr>
        <w:pStyle w:val="Compact"/>
        <w:numPr>
          <w:ilvl w:val="0"/>
          <w:numId w:val="1002"/>
        </w:numPr>
      </w:pPr>
      <w:r>
        <w:t xml:space="preserve">Attribute writes for synced users are directory-mastered; the directory-sync interval is the provisioning floor.</w:t>
      </w:r>
    </w:p>
    <w:p>
      <w:pPr>
        <w:pStyle w:val="Compact"/>
        <w:numPr>
          <w:ilvl w:val="0"/>
          <w:numId w:val="1002"/>
        </w:numPr>
      </w:pPr>
      <w:r>
        <w:t xml:space="preserve">Device attributes are cloud-mastered and writable through the cloud API.</w:t>
      </w:r>
    </w:p>
    <w:p>
      <w:pPr>
        <w:pStyle w:val="Compact"/>
        <w:numPr>
          <w:ilvl w:val="0"/>
          <w:numId w:val="1002"/>
        </w:numPr>
      </w:pPr>
      <w:r>
        <w:t xml:space="preserve">Downstream systems reference or synchronize to the authoritative origin; they do not maintain independent copies.</w:t>
      </w:r>
    </w:p>
    <w:bookmarkEnd w:id="10"/>
    <w:bookmarkStart w:id="11" w:name="control-mapping"/>
    <w:p>
      <w:pPr>
        <w:pStyle w:val="Heading2"/>
      </w:pPr>
      <w:r>
        <w:t xml:space="preserve">Control mapping</w:t>
      </w:r>
    </w:p>
    <w:p>
      <w:pPr>
        <w:pStyle w:val="FirstParagraph"/>
      </w:pPr>
      <w:r>
        <w:t xml:space="preserve">The identity domain closes controls related to account management, access enforcement, and continuous monitoring by making access a computed, regenerable property of the authoritative attribute source.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2026-10-19T10:10:46Z</dcterms:created>
  <dcterms:modified xsi:type="dcterms:W3CDTF">2026-10-19T10:10:46Z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