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X9b2a9a77a32360d5f93c5a1900c48b20b39c43b"/>
    <w:p>
      <w:pPr>
        <w:pStyle w:val="Heading1"/>
      </w:pPr>
      <w:r>
        <w:t xml:space="preserve">Secure Access Service Edge Modernization Specification</w:t>
      </w:r>
    </w:p>
    <w:p>
      <w:pPr>
        <w:pStyle w:val="FirstParagraph"/>
      </w:pPr>
      <w:r>
        <w:rPr>
          <w:b/>
          <w:bCs/>
        </w:rPr>
        <w:t xml:space="preserve">Cross-adapter contract for Secure Access Service Edge governance</w:t>
      </w:r>
    </w:p>
    <w:p>
      <w:pPr>
        <w:pStyle w:val="BodyText"/>
      </w:pPr>
      <w:r>
        <w:t xml:space="preserve">Secure Access Service Edge replaces perimeter-and-VPN remote access with identity-driven, network-overlay security delivered as a converged service. This specification defines the substrate contract that adapters must honor: identity-derived addressing, certificate-anchored overlay, and canonical claim emission for access decisions.</w:t>
      </w:r>
    </w:p>
    <w:bookmarkStart w:id="9" w:name="substrate-contract"/>
    <w:p>
      <w:pPr>
        <w:pStyle w:val="Heading2"/>
      </w:pPr>
      <w:r>
        <w:t xml:space="preserve">Substrate contract</w:t>
      </w:r>
    </w:p>
    <w:p>
      <w:pPr>
        <w:pStyle w:val="FirstParagraph"/>
      </w:pPr>
      <w:r>
        <w:t xml:space="preserve">Secure Access Service Edge adapters span the Identity, Network, Addressing, and Security &amp; Compliance planes. They inherit:</w:t>
      </w:r>
      <w:r>
        <w:t xml:space="preserve"> </w:t>
      </w:r>
      <w:r>
        <w:t xml:space="preserve">- Identity-derived access — every access decision consumes identity claims as authoritative input; policy decision points do not maintain parallel identity authority.</w:t>
      </w:r>
      <w:r>
        <w:t xml:space="preserve"> </w:t>
      </w:r>
      <w:r>
        <w:t xml:space="preserve">- Certificate-anchored overlay — the network overlay binds to certificates from the identity plane, not to per-device pre-shared keys or location-based trust.</w:t>
      </w:r>
      <w:r>
        <w:t xml:space="preserve"> </w:t>
      </w:r>
      <w:r>
        <w:t xml:space="preserve">- Decision-record emission — every access decision is a canonical claim with the full provenance envelope.</w:t>
      </w:r>
    </w:p>
    <w:bookmarkEnd w:id="9"/>
    <w:bookmarkStart w:id="10" w:name="adapter-shape"/>
    <w:p>
      <w:pPr>
        <w:pStyle w:val="Heading2"/>
      </w:pPr>
      <w:r>
        <w:t xml:space="preserve">Adapter shape</w:t>
      </w:r>
    </w:p>
    <w:p>
      <w:pPr>
        <w:pStyle w:val="FirstParagraph"/>
      </w:pPr>
      <w:r>
        <w:t xml:space="preserve">Adapters declare:</w:t>
      </w:r>
      <w:r>
        <w:t xml:space="preserve"> </w:t>
      </w:r>
      <w:r>
        <w:t xml:space="preserve">- Mission-class: enforcement (policy decision/enforcement point role) or integration (cloud access security broker / secure web gateway / data loss prevention integration role).</w:t>
      </w:r>
      <w:r>
        <w:t xml:space="preserve"> </w:t>
      </w:r>
      <w:r>
        <w:t xml:space="preserve">- Class: modernization (replacing legacy VPN / perimeter) or conformance (observing vendor policy state).</w:t>
      </w:r>
      <w:r>
        <w:t xml:space="preserve"> </w:t>
      </w:r>
      <w:r>
        <w:t xml:space="preserve">- Boundary disposition per adapter.</w:t>
      </w:r>
    </w:p>
    <w:bookmarkEnd w:id="10"/>
    <w:bookmarkStart w:id="11" w:name="integration-shape"/>
    <w:p>
      <w:pPr>
        <w:pStyle w:val="Heading2"/>
      </w:pPr>
      <w:r>
        <w:t xml:space="preserve">Integration shape</w:t>
      </w:r>
    </w:p>
    <w:p>
      <w:pPr>
        <w:pStyle w:val="SourceCode"/>
      </w:pPr>
      <w:r>
        <w:rPr>
          <w:rStyle w:val="VerbatimChar"/>
        </w:rPr>
        <w:t xml:space="preserve">provenance:</w:t>
      </w:r>
      <w:r>
        <w:br/>
      </w:r>
      <w:r>
        <w:rPr>
          <w:rStyle w:val="VerbatimChar"/>
        </w:rPr>
        <w:t xml:space="preserve">  ...</w:t>
      </w:r>
      <w:r>
        <w:br/>
      </w:r>
      <w:r>
        <w:rPr>
          <w:rStyle w:val="VerbatimChar"/>
        </w:rPr>
        <w:t xml:space="preserve">sase_decision:</w:t>
      </w:r>
      <w:r>
        <w:br/>
      </w:r>
      <w:r>
        <w:rPr>
          <w:rStyle w:val="VerbatimChar"/>
        </w:rPr>
        <w:t xml:space="preserve">  pdp_id: "{policy_decision_point}"</w:t>
      </w:r>
      <w:r>
        <w:br/>
      </w:r>
      <w:r>
        <w:rPr>
          <w:rStyle w:val="VerbatimChar"/>
        </w:rPr>
        <w:t xml:space="preserve">  decision: "permit | deny | escalate"</w:t>
      </w:r>
      <w:r>
        <w:br/>
      </w:r>
      <w:r>
        <w:rPr>
          <w:rStyle w:val="VerbatimChar"/>
        </w:rPr>
        <w:t xml:space="preserve">  identity_context: "{issuer_identity}"</w:t>
      </w:r>
      <w:r>
        <w:br/>
      </w:r>
      <w:r>
        <w:rPr>
          <w:rStyle w:val="VerbatimChar"/>
        </w:rPr>
        <w:t xml:space="preserve">  resource_scope: "{application_id | url | dns_name}"</w:t>
      </w:r>
      <w:r>
        <w:br/>
      </w:r>
      <w:r>
        <w:rPr>
          <w:rStyle w:val="VerbatimChar"/>
        </w:rPr>
        <w:t xml:space="preserve">  network_overlay: "{overlay_id}"</w:t>
      </w:r>
      <w:r>
        <w:br/>
      </w:r>
      <w:r>
        <w:rPr>
          <w:rStyle w:val="VerbatimChar"/>
        </w:rPr>
        <w:t xml:space="preserve">  certificate_thumbprint: "{cert_id}"</w:t>
      </w:r>
      <w:r>
        <w:br/>
      </w:r>
      <w:r>
        <w:rPr>
          <w:rStyle w:val="VerbatimChar"/>
        </w:rPr>
        <w:t xml:space="preserve">  policy_refs:</w:t>
      </w:r>
      <w:r>
        <w:br/>
      </w:r>
      <w:r>
        <w:rPr>
          <w:rStyle w:val="VerbatimChar"/>
        </w:rPr>
        <w:t xml:space="preserve">    - "{authoritative_policy_id}"</w:t>
      </w:r>
      <w:r>
        <w:br/>
      </w:r>
      <w:r>
        <w:rPr>
          <w:rStyle w:val="VerbatimChar"/>
        </w:rPr>
        <w:t xml:space="preserve">  evaluation_timestamp: ISO8601</w:t>
      </w:r>
    </w:p>
    <w:bookmarkEnd w:id="11"/>
    <w:bookmarkStart w:id="12" w:name="drift-considerations"/>
    <w:p>
      <w:pPr>
        <w:pStyle w:val="Heading2"/>
      </w:pPr>
      <w:r>
        <w:t xml:space="preserve">Drift considerations</w:t>
      </w:r>
    </w:p>
    <w:p>
      <w:pPr>
        <w:pStyle w:val="Compact"/>
        <w:numPr>
          <w:ilvl w:val="0"/>
          <w:numId w:val="1001"/>
        </w:numPr>
      </w:pPr>
      <w:r>
        <w:t xml:space="preserve">Identity — policy decision point receives an unresolvable identity claim; halt and alert.</w:t>
      </w:r>
    </w:p>
    <w:p>
      <w:pPr>
        <w:pStyle w:val="Compact"/>
        <w:numPr>
          <w:ilvl w:val="0"/>
          <w:numId w:val="1001"/>
        </w:numPr>
      </w:pPr>
      <w:r>
        <w:t xml:space="preserve">Authorization — decision recorded outside the consent envelope.</w:t>
      </w:r>
    </w:p>
    <w:p>
      <w:pPr>
        <w:pStyle w:val="Compact"/>
        <w:numPr>
          <w:ilvl w:val="0"/>
          <w:numId w:val="1001"/>
        </w:numPr>
      </w:pPr>
      <w:r>
        <w:t xml:space="preserve">Provenance — overlay certificate fails to bind to an identity-plane object.</w:t>
      </w:r>
    </w:p>
    <w:p>
      <w:pPr>
        <w:pStyle w:val="Compact"/>
        <w:numPr>
          <w:ilvl w:val="0"/>
          <w:numId w:val="1001"/>
        </w:numPr>
      </w:pPr>
      <w:r>
        <w:t xml:space="preserve">Schema — vendor policy schema diverges from canonical shape.</w:t>
      </w:r>
    </w:p>
    <w:bookmarkEnd w:id="12"/>
    <w:bookmarkStart w:id="13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2"/>
        </w:numPr>
      </w:pPr>
      <w:r>
        <w:t xml:space="preserve">Vendor maturity in government clouds varies. Programs may need compensating-mechanism declarations for vendor features unavailable in-boundary.</w:t>
      </w:r>
    </w:p>
    <w:p>
      <w:pPr>
        <w:pStyle w:val="Compact"/>
        <w:numPr>
          <w:ilvl w:val="0"/>
          <w:numId w:val="1002"/>
        </w:numPr>
      </w:pPr>
      <w:r>
        <w:t xml:space="preserve">Certificate-anchored overlay requires the agency public-key infrastructure to issue certificates bound to identity-plane objects.</w:t>
      </w:r>
    </w:p>
    <w:p>
      <w:pPr>
        <w:pStyle w:val="Compact"/>
        <w:numPr>
          <w:ilvl w:val="0"/>
          <w:numId w:val="1002"/>
        </w:numPr>
      </w:pPr>
      <w:r>
        <w:t xml:space="preserve">Some vendor policy decision points do not emit decision records natively; the adapter shape may require synthesis from logs, with explicit derived classification.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2026-10-19T10:10:47Z</dcterms:created>
  <dcterms:modified xsi:type="dcterms:W3CDTF">2026-10-19T10:10:47Z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