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5" w:name="X5761f0c5922ab8dc4ae71168200255f87498406"/>
    <w:p>
      <w:pPr>
        <w:pStyle w:val="Heading1"/>
      </w:pPr>
      <w:r>
        <w:t xml:space="preserve">Software-Defined WAN Modernization Specification</w:t>
      </w:r>
    </w:p>
    <w:p>
      <w:pPr>
        <w:pStyle w:val="FirstParagraph"/>
      </w:pPr>
      <w:r>
        <w:rPr>
          <w:b/>
          <w:bCs/>
        </w:rPr>
        <w:t xml:space="preserve">Cross-adapter contract for Software-Defined WAN governance</w:t>
      </w:r>
    </w:p>
    <w:p>
      <w:pPr>
        <w:pStyle w:val="BodyText"/>
      </w:pPr>
      <w:r>
        <w:t xml:space="preserve">Software-Defined WAN replaces static multiprotocol label switching wide-area networks with policy-driven, telemetry-informed routing across diverse transports. This specification defines the substrate contract for adapters: identity-aware routing, telemetry-as-control, and canonical claim emission for path and policy decisions.</w:t>
      </w:r>
    </w:p>
    <w:bookmarkStart w:id="9" w:name="substrate-contract"/>
    <w:p>
      <w:pPr>
        <w:pStyle w:val="Heading2"/>
      </w:pPr>
      <w:r>
        <w:t xml:space="preserve">Substrate contract</w:t>
      </w:r>
    </w:p>
    <w:p>
      <w:pPr>
        <w:pStyle w:val="FirstParagraph"/>
      </w:pPr>
      <w:r>
        <w:t xml:space="preserve">Software-Defined WAN adapters span the Network, Addressing, and Telemetry planes. They inherit:</w:t>
      </w:r>
      <w:r>
        <w:t xml:space="preserve"> </w:t>
      </w:r>
      <w:r>
        <w:t xml:space="preserve">- Identity-aware policy — routing policy consumes identity context where applicable; the controller does not maintain parallel identity authority.</w:t>
      </w:r>
      <w:r>
        <w:t xml:space="preserve"> </w:t>
      </w:r>
      <w:r>
        <w:t xml:space="preserve">- Telemetry as control — path quality, service-level agreement telemetry, and policy decisions emit as canonical claims; the substrate consumes them as control input, not as after-the-fact reports.</w:t>
      </w:r>
      <w:r>
        <w:t xml:space="preserve"> </w:t>
      </w:r>
      <w:r>
        <w:t xml:space="preserve">- Canonical decision records — every policy decision (path selection, transport failover, application steering) is a claim with the full provenance envelope.</w:t>
      </w:r>
    </w:p>
    <w:bookmarkEnd w:id="9"/>
    <w:bookmarkStart w:id="10" w:name="adapter-shape"/>
    <w:p>
      <w:pPr>
        <w:pStyle w:val="Heading2"/>
      </w:pPr>
      <w:r>
        <w:t xml:space="preserve">Adapter shape</w:t>
      </w:r>
    </w:p>
    <w:p>
      <w:pPr>
        <w:pStyle w:val="FirstParagraph"/>
      </w:pPr>
      <w:r>
        <w:t xml:space="preserve">Adapters declare:</w:t>
      </w:r>
      <w:r>
        <w:t xml:space="preserve"> </w:t>
      </w:r>
      <w:r>
        <w:t xml:space="preserve">- Mission-class: enforcement (path-level enforcement), telemetry (path-quality observer), or integration (controller integration).</w:t>
      </w:r>
      <w:r>
        <w:t xml:space="preserve"> </w:t>
      </w:r>
      <w:r>
        <w:t xml:space="preserve">- Class: modernization (replacing legacy wide-area network) or conformance (observing policy/state).</w:t>
      </w:r>
      <w:r>
        <w:t xml:space="preserve"> </w:t>
      </w:r>
      <w:r>
        <w:t xml:space="preserve">- Boundary disposition per adapter. Most controllers operate outside government-cloud boundaries unless explicitly certified.</w:t>
      </w:r>
    </w:p>
    <w:bookmarkEnd w:id="10"/>
    <w:bookmarkStart w:id="11" w:name="integration-shape"/>
    <w:p>
      <w:pPr>
        <w:pStyle w:val="Heading2"/>
      </w:pPr>
      <w:r>
        <w:t xml:space="preserve">Integration shape</w:t>
      </w:r>
    </w:p>
    <w:p>
      <w:pPr>
        <w:pStyle w:val="SourceCode"/>
      </w:pPr>
      <w:r>
        <w:rPr>
          <w:rStyle w:val="VerbatimChar"/>
        </w:rPr>
        <w:t xml:space="preserve">provenance:</w:t>
      </w:r>
      <w:r>
        <w:br/>
      </w:r>
      <w:r>
        <w:rPr>
          <w:rStyle w:val="VerbatimChar"/>
        </w:rPr>
        <w:t xml:space="preserve">  ...</w:t>
      </w:r>
      <w:r>
        <w:br/>
      </w:r>
      <w:r>
        <w:rPr>
          <w:rStyle w:val="VerbatimChar"/>
        </w:rPr>
        <w:t xml:space="preserve">sdwan_decision:</w:t>
      </w:r>
      <w:r>
        <w:br/>
      </w:r>
      <w:r>
        <w:rPr>
          <w:rStyle w:val="VerbatimChar"/>
        </w:rPr>
        <w:t xml:space="preserve">  controller_id: "{controller}"</w:t>
      </w:r>
      <w:r>
        <w:br/>
      </w:r>
      <w:r>
        <w:rPr>
          <w:rStyle w:val="VerbatimChar"/>
        </w:rPr>
        <w:t xml:space="preserve">  decision_kind: "path-selection | failover | application-steering | qos"</w:t>
      </w:r>
      <w:r>
        <w:br/>
      </w:r>
      <w:r>
        <w:rPr>
          <w:rStyle w:val="VerbatimChar"/>
        </w:rPr>
        <w:t xml:space="preserve">  source_site: "{site_id}"</w:t>
      </w:r>
      <w:r>
        <w:br/>
      </w:r>
      <w:r>
        <w:rPr>
          <w:rStyle w:val="VerbatimChar"/>
        </w:rPr>
        <w:t xml:space="preserve">  destination: "{site_id | application_id}"</w:t>
      </w:r>
      <w:r>
        <w:br/>
      </w:r>
      <w:r>
        <w:rPr>
          <w:rStyle w:val="VerbatimChar"/>
        </w:rPr>
        <w:t xml:space="preserve">  selected_path: "{transport_id}"</w:t>
      </w:r>
      <w:r>
        <w:br/>
      </w:r>
      <w:r>
        <w:rPr>
          <w:rStyle w:val="VerbatimChar"/>
        </w:rPr>
        <w:t xml:space="preserve">  identity_context: "{issuer_identity | n/a}"</w:t>
      </w:r>
      <w:r>
        <w:br/>
      </w:r>
      <w:r>
        <w:rPr>
          <w:rStyle w:val="VerbatimChar"/>
        </w:rPr>
        <w:t xml:space="preserve">  sla_state: "{sla_class}"</w:t>
      </w:r>
      <w:r>
        <w:br/>
      </w:r>
      <w:r>
        <w:rPr>
          <w:rStyle w:val="VerbatimChar"/>
        </w:rPr>
        <w:t xml:space="preserve">  policy_refs:</w:t>
      </w:r>
      <w:r>
        <w:br/>
      </w:r>
      <w:r>
        <w:rPr>
          <w:rStyle w:val="VerbatimChar"/>
        </w:rPr>
        <w:t xml:space="preserve">    - "{authoritative_policy_id}"</w:t>
      </w:r>
      <w:r>
        <w:br/>
      </w:r>
      <w:r>
        <w:rPr>
          <w:rStyle w:val="VerbatimChar"/>
        </w:rPr>
        <w:t xml:space="preserve">  evaluation_timestamp: ISO8601</w:t>
      </w:r>
    </w:p>
    <w:bookmarkEnd w:id="11"/>
    <w:bookmarkStart w:id="12" w:name="boundary-treatment"/>
    <w:p>
      <w:pPr>
        <w:pStyle w:val="Heading2"/>
      </w:pPr>
      <w:r>
        <w:t xml:space="preserve">Boundary treatment</w:t>
      </w:r>
    </w:p>
    <w:p>
      <w:pPr>
        <w:pStyle w:val="FirstParagraph"/>
      </w:pPr>
      <w:r>
        <w:t xml:space="preserve">Controllers frequently sit outside the government-cloud boundary. The adapter must declare its boundary disposition explicitly (in-boundary, named exception, or compensating-controller). Controllers that do not fit any of these categories require an authorizing decision before registration.</w:t>
      </w:r>
    </w:p>
    <w:bookmarkEnd w:id="12"/>
    <w:bookmarkStart w:id="13" w:name="drift-considerations"/>
    <w:p>
      <w:pPr>
        <w:pStyle w:val="Heading2"/>
      </w:pPr>
      <w:r>
        <w:t xml:space="preserve">Drift considerations</w:t>
      </w:r>
    </w:p>
    <w:p>
      <w:pPr>
        <w:pStyle w:val="Compact"/>
        <w:numPr>
          <w:ilvl w:val="0"/>
          <w:numId w:val="1001"/>
        </w:numPr>
      </w:pPr>
      <w:r>
        <w:t xml:space="preserve">Schema — controller policy schema diverges from canonical shape.</w:t>
      </w:r>
    </w:p>
    <w:p>
      <w:pPr>
        <w:pStyle w:val="Compact"/>
        <w:numPr>
          <w:ilvl w:val="0"/>
          <w:numId w:val="1001"/>
        </w:numPr>
      </w:pPr>
      <w:r>
        <w:t xml:space="preserve">Provenance — telemetry chain breakage between site, controller, and substrate (common at boundary crossings).</w:t>
      </w:r>
    </w:p>
    <w:p>
      <w:pPr>
        <w:pStyle w:val="Compact"/>
        <w:numPr>
          <w:ilvl w:val="0"/>
          <w:numId w:val="1001"/>
        </w:numPr>
      </w:pPr>
      <w:r>
        <w:t xml:space="preserve">Authorization — policy decision emitted outside the declared scope.</w:t>
      </w:r>
    </w:p>
    <w:p>
      <w:pPr>
        <w:pStyle w:val="Compact"/>
        <w:numPr>
          <w:ilvl w:val="0"/>
          <w:numId w:val="1001"/>
        </w:numPr>
      </w:pPr>
      <w:r>
        <w:t xml:space="preserve">Semantic — service-level agreement classification mismatch between controller and canonical model.</w:t>
      </w:r>
    </w:p>
    <w:bookmarkEnd w:id="13"/>
    <w:bookmarkStart w:id="14" w:name="honest-limits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02"/>
        </w:numPr>
      </w:pPr>
      <w:r>
        <w:t xml:space="preserve">Vendor maturity in federal cloud boundaries varies. Adapter authors may have to carry significant compensating-controller logic for vendors lacking in-boundary controllers.</w:t>
      </w:r>
    </w:p>
    <w:p>
      <w:pPr>
        <w:pStyle w:val="Compact"/>
        <w:numPr>
          <w:ilvl w:val="0"/>
          <w:numId w:val="1002"/>
        </w:numPr>
      </w:pPr>
      <w:r>
        <w:t xml:space="preserve">Path-quality telemetry from some vendors is proprietary; canonical claim emission may require synthesis with explicit synthesized classification.</w:t>
      </w:r>
    </w:p>
    <w:p>
      <w:pPr>
        <w:pStyle w:val="Compact"/>
        <w:numPr>
          <w:ilvl w:val="0"/>
          <w:numId w:val="1002"/>
        </w:numPr>
      </w:pPr>
      <w:r>
        <w:t xml:space="preserve">Identity-aware policy is not universally supported by all vendors; programs adopting an identity-naive controller cannot realize the full specification.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2026-10-19T10:10:47Z</dcterms:created>
  <dcterms:modified xsi:type="dcterms:W3CDTF">2026-10-19T10:10:47Z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