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telemetry-modernization-specification"/>
    <w:p>
      <w:pPr>
        <w:pStyle w:val="Heading1"/>
      </w:pPr>
      <w:r>
        <w:t xml:space="preserve">Telemetry Modernization Specification</w:t>
      </w:r>
    </w:p>
    <w:p>
      <w:pPr>
        <w:pStyle w:val="FirstParagraph"/>
      </w:pPr>
      <w:r>
        <w:rPr>
          <w:b/>
          <w:bCs/>
        </w:rPr>
        <w:t xml:space="preserve">Cross-adapter contract for telemetry, evidence, and audit</w:t>
      </w:r>
    </w:p>
    <w:p>
      <w:pPr>
        <w:pStyle w:val="BodyText"/>
      </w:pPr>
      <w:r>
        <w:t xml:space="preserve">The telemetry domain specification defines the substrate contract for turning runtime signals into assessor-ready evidence with traceable provenance.</w:t>
      </w:r>
    </w:p>
    <w:bookmarkStart w:id="9" w:name="contract-requirements"/>
    <w:p>
      <w:pPr>
        <w:pStyle w:val="Heading2"/>
      </w:pPr>
      <w:r>
        <w:t xml:space="preserve">Contract requirements</w:t>
      </w:r>
    </w:p>
    <w:p>
      <w:pPr>
        <w:pStyle w:val="Compact"/>
        <w:numPr>
          <w:ilvl w:val="0"/>
          <w:numId w:val="1001"/>
        </w:numPr>
      </w:pPr>
      <w:r>
        <w:t xml:space="preserve">Every component emits telemetry in canonical claim form.</w:t>
      </w:r>
    </w:p>
    <w:p>
      <w:pPr>
        <w:pStyle w:val="Compact"/>
        <w:numPr>
          <w:ilvl w:val="0"/>
          <w:numId w:val="1001"/>
        </w:numPr>
      </w:pPr>
      <w:r>
        <w:t xml:space="preserve">Telemetry is treated as control input, not as after-the-fact reporting.</w:t>
      </w:r>
    </w:p>
    <w:p>
      <w:pPr>
        <w:pStyle w:val="Compact"/>
        <w:numPr>
          <w:ilvl w:val="0"/>
          <w:numId w:val="1001"/>
        </w:numPr>
      </w:pPr>
      <w:r>
        <w:t xml:space="preserve">Every claim carries a full provenance envelope (issuer, source classification, transformation chain, lineage hash).</w:t>
      </w:r>
    </w:p>
    <w:p>
      <w:pPr>
        <w:pStyle w:val="Compact"/>
        <w:numPr>
          <w:ilvl w:val="0"/>
          <w:numId w:val="1001"/>
        </w:numPr>
      </w:pPr>
      <w:r>
        <w:t xml:space="preserve">Evidence bundles are assembled, sealed, and emitted deterministically.</w:t>
      </w:r>
    </w:p>
    <w:p>
      <w:pPr>
        <w:pStyle w:val="Compact"/>
        <w:numPr>
          <w:ilvl w:val="0"/>
          <w:numId w:val="1001"/>
        </w:numPr>
      </w:pPr>
      <w:r>
        <w:t xml:space="preserve">Drift findings are first-class artifacts in the authorization package, not a parallel log.</w:t>
      </w:r>
    </w:p>
    <w:bookmarkEnd w:id="9"/>
    <w:bookmarkStart w:id="10" w:name="integration-shape"/>
    <w:p>
      <w:pPr>
        <w:pStyle w:val="Heading2"/>
      </w:pPr>
      <w:r>
        <w:t xml:space="preserve">Integration shape</w:t>
      </w:r>
    </w:p>
    <w:p>
      <w:pPr>
        <w:pStyle w:val="FirstParagraph"/>
      </w:pPr>
      <w:r>
        <w:t xml:space="preserve">Telemetry from multiple planes is normalized into a single claim shape before it reaches any SIEM or governance tool. The combination is reproducible from raw telemetry plus the authoritative source.</w:t>
      </w:r>
    </w:p>
    <w:bookmarkEnd w:id="10"/>
    <w:bookmarkStart w:id="11" w:name="control-mapping"/>
    <w:p>
      <w:pPr>
        <w:pStyle w:val="Heading2"/>
      </w:pPr>
      <w:r>
        <w:t xml:space="preserve">Control mapping</w:t>
      </w:r>
    </w:p>
    <w:p>
      <w:pPr>
        <w:pStyle w:val="FirstParagraph"/>
      </w:pPr>
      <w:r>
        <w:t xml:space="preserve">The domain closes controls related to continuous monitoring, audit and accountability, and system and information integrity by making evidence regenerable and hash-verifiable.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2026-10-19T10:10:47Z</dcterms:created>
  <dcterms:modified xsi:type="dcterms:W3CDTF">2026-10-19T10:10:47Z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