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2" w:name="zero-trust-modernization-specification"/>
    <w:p>
      <w:pPr>
        <w:pStyle w:val="Heading1"/>
      </w:pPr>
      <w:r>
        <w:t xml:space="preserve">Zero Trust Modernization Specification</w:t>
      </w:r>
    </w:p>
    <w:p>
      <w:pPr>
        <w:pStyle w:val="FirstParagraph"/>
      </w:pPr>
      <w:r>
        <w:rPr>
          <w:b/>
          <w:bCs/>
        </w:rPr>
        <w:t xml:space="preserve">Cross-adapter contract for zero-trust implementation</w:t>
      </w:r>
    </w:p>
    <w:p>
      <w:pPr>
        <w:pStyle w:val="BodyText"/>
      </w:pPr>
      <w:r>
        <w:t xml:space="preserve">The zero-trust domain specification defines the substrate contract for identity-anchored zero-trust execution across incumbent controls.</w:t>
      </w:r>
    </w:p>
    <w:bookmarkStart w:id="9" w:name="contract-requirements"/>
    <w:p>
      <w:pPr>
        <w:pStyle w:val="Heading2"/>
      </w:pPr>
      <w:r>
        <w:t xml:space="preserve">Contract requirements</w:t>
      </w:r>
    </w:p>
    <w:p>
      <w:pPr>
        <w:pStyle w:val="Compact"/>
        <w:numPr>
          <w:ilvl w:val="0"/>
          <w:numId w:val="1001"/>
        </w:numPr>
      </w:pPr>
      <w:r>
        <w:t xml:space="preserve">Every claim, certificate event, and governance decision is anchored to an identity that is verified, not assumed.</w:t>
      </w:r>
    </w:p>
    <w:p>
      <w:pPr>
        <w:pStyle w:val="Compact"/>
        <w:numPr>
          <w:ilvl w:val="0"/>
          <w:numId w:val="1001"/>
        </w:numPr>
      </w:pPr>
      <w:r>
        <w:t xml:space="preserve">Anchor bindings are untrusted by default and must be backed by cryptographic proof, independent corroboration, or explicit governance authorization.</w:t>
      </w:r>
    </w:p>
    <w:p>
      <w:pPr>
        <w:pStyle w:val="Compact"/>
        <w:numPr>
          <w:ilvl w:val="0"/>
          <w:numId w:val="1001"/>
        </w:numPr>
      </w:pPr>
      <w:r>
        <w:t xml:space="preserve">Identity is a necessary anchor, not a sufficient one. Continuous evaluation of multiple signals is required.</w:t>
      </w:r>
    </w:p>
    <w:p>
      <w:pPr>
        <w:pStyle w:val="Compact"/>
        <w:numPr>
          <w:ilvl w:val="0"/>
          <w:numId w:val="1001"/>
        </w:numPr>
      </w:pPr>
      <w:r>
        <w:t xml:space="preserve">Privileged and administrative identity needs controls of its own.</w:t>
      </w:r>
    </w:p>
    <w:p>
      <w:pPr>
        <w:pStyle w:val="Compact"/>
        <w:numPr>
          <w:ilvl w:val="0"/>
          <w:numId w:val="1001"/>
        </w:numPr>
      </w:pPr>
      <w:r>
        <w:t xml:space="preserve">Continuous evidence is a governance property, not a tool feature.</w:t>
      </w:r>
    </w:p>
    <w:p>
      <w:pPr>
        <w:pStyle w:val="Compact"/>
        <w:numPr>
          <w:ilvl w:val="0"/>
          <w:numId w:val="1001"/>
        </w:numPr>
      </w:pPr>
      <w:r>
        <w:t xml:space="preserve">Governance must enforce, not only observe.</w:t>
      </w:r>
    </w:p>
    <w:bookmarkEnd w:id="9"/>
    <w:bookmarkStart w:id="10" w:name="integration-shape"/>
    <w:p>
      <w:pPr>
        <w:pStyle w:val="Heading2"/>
      </w:pPr>
      <w:r>
        <w:t xml:space="preserve">Integration shape</w:t>
      </w:r>
    </w:p>
    <w:p>
      <w:pPr>
        <w:pStyle w:val="FirstParagraph"/>
      </w:pPr>
      <w:r>
        <w:t xml:space="preserve">The zero-trust domain sits above systems already running. It normalizes their identity-linked signals and enforces traceable policy outcomes across them without forcing a rip-and-replace.</w:t>
      </w:r>
    </w:p>
    <w:bookmarkEnd w:id="10"/>
    <w:bookmarkStart w:id="11" w:name="control-mapping"/>
    <w:p>
      <w:pPr>
        <w:pStyle w:val="Heading2"/>
      </w:pPr>
      <w:r>
        <w:t xml:space="preserve">Control mapping</w:t>
      </w:r>
    </w:p>
    <w:p>
      <w:pPr>
        <w:pStyle w:val="FirstParagraph"/>
      </w:pPr>
      <w:r>
        <w:t xml:space="preserve">The domain closes controls related to access control, continuous monitoring, and incident response by making every access decision a regenerable, identity-anchored evaluation.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2026-10-19T10:10:47Z</dcterms:created>
  <dcterms:modified xsi:type="dcterms:W3CDTF">2026-10-19T10:10:47Z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