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Modernization — Modernization</w:t>
      </w:r>
    </w:p>
    <w:p>
      <w:pPr>
        <w:pStyle w:val="Subtitle"/>
      </w:pPr>
      <w:r>
        <w:t xml:space="preserve">The modernization expression of the Federal Modernization Program substrate: migration without rip-and-replace, governed by the same spine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5" w:name="modernization-modernization"/>
    <w:p>
      <w:pPr>
        <w:pStyle w:val="Heading1"/>
      </w:pPr>
      <w:r>
        <w:t xml:space="preserve">Modernization — Modernization</w:t>
      </w:r>
    </w:p>
    <w:p>
      <w:pPr>
        <w:pStyle w:val="FirstParagraph"/>
      </w:pPr>
      <w:r>
        <w:rPr>
          <w:b/>
          <w:bCs/>
        </w:rPr>
        <w:t xml:space="preserve">Modernization</w:t>
      </w:r>
      <w:r>
        <w:t xml:space="preserve"> </w:t>
      </w:r>
      <w:r>
        <w:t xml:space="preserve">is the operational</w:t>
      </w:r>
      <w:r>
        <w:t xml:space="preserve"> </w:t>
      </w:r>
      <w:r>
        <w:t xml:space="preserve">expression of the Federal Modernization Program substrate that moves a legacy estate forward</w:t>
      </w:r>
      <w:r>
        <w:t xml:space="preserve"> </w:t>
      </w:r>
      <w:r>
        <w:rPr>
          <w:i/>
          <w:iCs/>
        </w:rPr>
        <w:t xml:space="preserve">without</w:t>
      </w:r>
      <w:r>
        <w:rPr>
          <w:i/>
          <w:iCs/>
        </w:rPr>
        <w:t xml:space="preserve"> </w:t>
      </w:r>
      <w:r>
        <w:rPr>
          <w:i/>
          <w:iCs/>
        </w:rPr>
        <w:t xml:space="preserve">rip-and-replace</w:t>
      </w:r>
      <w:r>
        <w:t xml:space="preserve">. Its core is vendor-neutral: adapter interfaces for</w:t>
      </w:r>
      <w:r>
        <w:t xml:space="preserve"> </w:t>
      </w:r>
      <w:r>
        <w:t xml:space="preserve">directory, device, PKI, RADIUS, DNS/DHCP/IPAM, and overlay-adjacent control</w:t>
      </w:r>
      <w:r>
        <w:t xml:space="preserve"> </w:t>
      </w:r>
      <w:r>
        <w:t xml:space="preserve">surfaces, driven by an assessment engine, a defined target surface, and</w:t>
      </w:r>
      <w:r>
        <w:t xml:space="preserve"> </w:t>
      </w:r>
      <w:r>
        <w:t xml:space="preserve">program management that keeps the whole journey change-controlled. Active</w:t>
      </w:r>
      <w:r>
        <w:t xml:space="preserve"> </w:t>
      </w:r>
      <w:r>
        <w:t xml:space="preserve">Directory → Entra ID remains the leading worked path, but Modernization is designed</w:t>
      </w:r>
      <w:r>
        <w:t xml:space="preserve"> </w:t>
      </w:r>
      <w:r>
        <w:t xml:space="preserve">to govern heterogeneous stacks beyond that single journey.</w:t>
      </w:r>
    </w:p>
    <w:p>
      <w:pPr>
        <w:pStyle w:val="BodyText"/>
      </w:pPr>
      <w:r>
        <w:rPr>
          <w:b/>
          <w:bCs/>
        </w:rPr>
        <w:t xml:space="preserve">Compliance</w:t>
      </w:r>
      <w:r>
        <w:t xml:space="preserve"> </w:t>
      </w:r>
      <w:r>
        <w:t xml:space="preserve">proves federal organizational compliance and</w:t>
      </w:r>
      <w:r>
        <w:t xml:space="preserve"> </w:t>
      </w:r>
      <w:r>
        <w:rPr>
          <w:b/>
          <w:bCs/>
        </w:rPr>
        <w:t xml:space="preserve">Modernization</w:t>
      </w:r>
      <w:r>
        <w:t xml:space="preserve"> </w:t>
      </w:r>
      <w:r>
        <w:t xml:space="preserve">modernizes — two expressions of one substrate, adoptable</w:t>
      </w:r>
      <w:r>
        <w:t xml:space="preserve"> </w:t>
      </w:r>
      <w:r>
        <w:t xml:space="preserve">together or entirely independently.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the whole family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[orgmod-modernization-series-latest.zip]</w:t>
            </w:r>
            <w:r>
              <w:t xml:space="preserve"> </w:t>
            </w:r>
            <w:r>
              <w:t xml:space="preserve">— every page Modernization publishes as Word documents, grouped into</w:t>
            </w:r>
            <w:r>
              <w:t xml:space="preserve"> </w:t>
            </w:r>
            <w:r>
              <w:rPr>
                <w:rStyle w:val="VerbatimChar"/>
              </w:rPr>
              <w:t xml:space="preserve">Transformation_Narrative/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Guides/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Modernization_Specs/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Directory_Migration_Bridge/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Whitepapers/</w:t>
            </w:r>
            <w:r>
              <w:t xml:space="preserve">, and</w:t>
            </w:r>
            <w:r>
              <w:t xml:space="preserve"> </w:t>
            </w:r>
            <w:r>
              <w:rPr>
                <w:rStyle w:val="VerbatimChar"/>
              </w:rPr>
              <w:t xml:space="preserve">SQL_Server_Transformation/</w:t>
            </w:r>
            <w:r>
              <w:t xml:space="preserve">. Rebuilt from source on</w:t>
            </w:r>
            <w:r>
              <w:t xml:space="preserve"> </w:t>
            </w:r>
            <w:r>
              <w:t xml:space="preserve">every site deploy; open</w:t>
            </w:r>
            <w:r>
              <w:t xml:space="preserve"> </w:t>
            </w:r>
            <w:r>
              <w:rPr>
                <w:rStyle w:val="VerbatimChar"/>
              </w:rPr>
              <w:t xml:space="preserve">INDEX.md</w:t>
            </w:r>
            <w:r>
              <w:t xml:space="preserve"> </w:t>
            </w:r>
            <w:r>
              <w:t xml:space="preserve">first. See the</w:t>
            </w:r>
            <w:r>
              <w:t xml:space="preserve"> </w:t>
            </w:r>
            <w:r>
              <w:t xml:space="preserve">Downloads page for what each folder holds.</w:t>
            </w:r>
          </w:p>
          <w:p/>
        </w:tc>
      </w:tr>
    </w:tbl>
    <w:bookmarkStart w:id="16" w:name="ways-in"/>
    <w:p>
      <w:pPr>
        <w:pStyle w:val="Heading2"/>
      </w:pPr>
      <w:r>
        <w:t xml:space="preserve">Ways in</w:t>
      </w:r>
    </w:p>
    <w:p>
      <w:pPr>
        <w:pStyle w:val="FirstParagraph"/>
      </w:pPr>
      <w:r>
        <w:t xml:space="preserve">Pick the entry point that matches your role: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Entry point</w:t>
            </w:r>
          </w:p>
        </w:tc>
        <w:tc>
          <w:tcPr/>
          <w:p>
            <w:pPr>
              <w:pStyle w:val="Compact"/>
            </w:pPr>
            <w:r>
              <w:t xml:space="preserve">For</w:t>
            </w:r>
          </w:p>
        </w:tc>
        <w:tc>
          <w:tcPr/>
          <w:p>
            <w:pPr>
              <w:pStyle w:val="Compact"/>
            </w:pPr>
            <w:r>
              <w:t xml:space="preserve">Start here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infrastructure bridge</w:t>
            </w:r>
          </w:p>
        </w:tc>
        <w:tc>
          <w:tcPr/>
          <w:p>
            <w:pPr>
              <w:pStyle w:val="Compact"/>
            </w:pPr>
            <w:r>
              <w:t xml:space="preserve">Architects planning what replaces AD’s eleven implicit roles</w:t>
            </w:r>
          </w:p>
        </w:tc>
        <w:tc>
          <w:tcPr/>
          <w:p>
            <w:pPr>
              <w:pStyle w:val="Compact"/>
            </w:pPr>
            <w:hyperlink r:id="rId12">
              <w:r>
                <w:rPr>
                  <w:rStyle w:val="Hyperlink"/>
                </w:rPr>
                <w:t xml:space="preserve">Directory Migration — the AD infrastructure bridge</w:t>
              </w:r>
            </w:hyperlink>
            <w:r>
              <w:t xml:space="preserve">, and the eight adapter interfaces behind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transformation series</w:t>
            </w:r>
          </w:p>
        </w:tc>
        <w:tc>
          <w:tcPr/>
          <w:p>
            <w:pPr>
              <w:pStyle w:val="Compact"/>
            </w:pPr>
            <w:r>
              <w:t xml:space="preserve">Program teams running the end-to-end journey</w:t>
            </w:r>
          </w:p>
        </w:tc>
        <w:tc>
          <w:tcPr/>
          <w:p>
            <w:pPr>
              <w:pStyle w:val="Compact"/>
            </w:pPr>
            <w:r>
              <w:t xml:space="preserve">Microsoft Client-Server to Hybrid-Cloud — AD, GPO, DNS, DHCP, Kerberos, and PKI → Entra ID, Intune, Azure Arc, IPAM, SASE, and Zero Trust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device and server planes</w:t>
            </w:r>
          </w:p>
        </w:tc>
        <w:tc>
          <w:tcPr/>
          <w:p>
            <w:pPr>
              <w:pStyle w:val="Compact"/>
            </w:pPr>
            <w:r>
              <w:t xml:space="preserve">Operators modernizing endpoints and servers</w:t>
            </w:r>
          </w:p>
        </w:tc>
        <w:tc>
          <w:tcPr/>
          <w:p>
            <w:pPr>
              <w:pStyle w:val="Compact"/>
            </w:pPr>
            <w:r>
              <w:t xml:space="preserve">Intune + Azure Arc Modernization — runnable manually or via the governed path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HR-driven identity pipeline</w:t>
            </w:r>
          </w:p>
        </w:tc>
        <w:tc>
          <w:tcPr/>
          <w:p>
            <w:pPr>
              <w:pStyle w:val="Compact"/>
            </w:pPr>
            <w:r>
              <w:t xml:space="preserve">Identity teams building the joiner/mover/leaver feed against Federal HR 2.0 (Oracle Core HCM)</w:t>
            </w:r>
          </w:p>
        </w:tc>
        <w:tc>
          <w:tcPr/>
          <w:p>
            <w:pPr>
              <w:pStyle w:val="Compact"/>
            </w:pPr>
            <w:r>
              <w:t xml:space="preserve">HRIT to HR-Driven IAM Execution Plan — the provisioning pipe to today’s AD-mastered estate and the cloud-native target, on the program’s wave clock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full guide shelf</w:t>
            </w:r>
          </w:p>
        </w:tc>
        <w:tc>
          <w:tcPr/>
          <w:p>
            <w:pPr>
              <w:pStyle w:val="Compact"/>
            </w:pPr>
            <w:r>
              <w:t xml:space="preserve">Everything task-oriented in one place</w:t>
            </w:r>
          </w:p>
        </w:tc>
        <w:tc>
          <w:tcPr/>
          <w:p>
            <w:pPr>
              <w:pStyle w:val="Compact"/>
            </w:pPr>
            <w:r>
              <w:t xml:space="preserve">The Modernization guides — transformation engine, target surface, and program management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long-form case</w:t>
            </w:r>
          </w:p>
        </w:tc>
        <w:tc>
          <w:tcPr/>
          <w:p>
            <w:pPr>
              <w:pStyle w:val="Compact"/>
            </w:pPr>
            <w:r>
              <w:t xml:space="preserve">Readers who need the argument before the runbook</w:t>
            </w:r>
          </w:p>
        </w:tc>
        <w:tc>
          <w:tcPr/>
          <w:p>
            <w:pPr>
              <w:pStyle w:val="Compact"/>
            </w:pPr>
            <w:r>
              <w:t xml:space="preserve">The modernization whitepapers —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the structural migration problem</w:t>
              </w:r>
            </w:hyperlink>
            <w:r>
              <w:t xml:space="preserve">,</w:t>
            </w:r>
            <w:r>
              <w:t xml:space="preserve"> </w:t>
            </w:r>
            <w:hyperlink r:id="rId14">
              <w:r>
                <w:rPr>
                  <w:rStyle w:val="Hyperlink"/>
                </w:rPr>
                <w:t xml:space="preserve">the modernization journey</w:t>
              </w:r>
            </w:hyperlink>
            <w:r>
              <w:t xml:space="preserve">, and the</w:t>
            </w:r>
            <w:r>
              <w:t xml:space="preserve"> </w:t>
            </w:r>
            <w:hyperlink r:id="rId15">
              <w:r>
                <w:rPr>
                  <w:rStyle w:val="Hyperlink"/>
                </w:rPr>
                <w:t xml:space="preserve">network and infrastructure track</w:t>
              </w:r>
            </w:hyperlink>
            <w:r>
              <w:t xml:space="preserve"> </w:t>
            </w:r>
            <w:r>
              <w:t xml:space="preserve">behind the transport, DNS, and field-office decisions</w:t>
            </w:r>
          </w:p>
        </w:tc>
      </w:tr>
    </w:tbl>
    <w:bookmarkEnd w:id="16"/>
    <w:bookmarkStart w:id="20" w:name="what-modernization-modernizes"/>
    <w:p>
      <w:pPr>
        <w:pStyle w:val="Heading2"/>
      </w:pPr>
      <w:r>
        <w:t xml:space="preserve">What Modernization modernizes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assessment engine</w:t>
      </w:r>
      <w:r>
        <w:t xml:space="preserve"> </w:t>
      </w:r>
      <w:r>
        <w:t xml:space="preserve">— enumerate what the legacy estate actually does</w:t>
      </w:r>
      <w:r>
        <w:t xml:space="preserve"> </w:t>
      </w:r>
      <w:r>
        <w:t xml:space="preserve">before deciding what replaces it; the</w:t>
      </w:r>
      <w:r>
        <w:t xml:space="preserve"> </w:t>
      </w:r>
      <w:r>
        <w:t xml:space="preserve">Federal Modernization Program</w:t>
      </w:r>
      <w:r>
        <w:t xml:space="preserve"> </w:t>
      </w:r>
      <w:r>
        <w:t xml:space="preserve">carries the engine, target surface, and program-management discipline.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target surface</w:t>
      </w:r>
      <w:r>
        <w:t xml:space="preserve"> </w:t>
      </w:r>
      <w:r>
        <w:t xml:space="preserve">—</w:t>
      </w:r>
      <w:r>
        <w:t xml:space="preserve"> </w:t>
      </w:r>
      <w:hyperlink r:id="rId17">
        <w:r>
          <w:rPr>
            <w:rStyle w:val="Hyperlink"/>
          </w:rPr>
          <w:t xml:space="preserve">Intune policy templates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18">
        <w:r>
          <w:rPr>
            <w:rStyle w:val="Hyperlink"/>
          </w:rPr>
          <w:t xml:space="preserve">Conditional Access library</w:t>
        </w:r>
      </w:hyperlink>
      <w:r>
        <w:t xml:space="preserve">,</w:t>
      </w:r>
      <w:r>
        <w:t xml:space="preserve"> </w:t>
      </w:r>
      <w:r>
        <w:t xml:space="preserve">and the cross-adapter modernization specs.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worked consumer</w:t>
      </w:r>
      <w:r>
        <w:t xml:space="preserve"> </w:t>
      </w:r>
      <w:r>
        <w:t xml:space="preserve">— the</w:t>
      </w:r>
      <w:r>
        <w:t xml:space="preserve"> </w:t>
      </w:r>
      <w:r>
        <w:t xml:space="preserve">SQL Server Identity Transformation</w:t>
      </w:r>
      <w:r>
        <w:t xml:space="preserve"> </w:t>
      </w:r>
      <w:r>
        <w:t xml:space="preserve">series migrates a twenty-year SQL estate off Windows Authentication onto</w:t>
      </w:r>
      <w:r>
        <w:t xml:space="preserve"> </w:t>
      </w:r>
      <w:r>
        <w:t xml:space="preserve">Entra ID, end to end.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long-form argument</w:t>
      </w:r>
      <w:r>
        <w:t xml:space="preserve"> </w:t>
      </w:r>
      <w:r>
        <w:t xml:space="preserve">— the modernization tracks of the</w:t>
      </w:r>
      <w:r>
        <w:t xml:space="preserve"> </w:t>
      </w:r>
      <w:hyperlink r:id="rId15">
        <w:r>
          <w:rPr>
            <w:rStyle w:val="Hyperlink"/>
          </w:rPr>
          <w:t xml:space="preserve">whitepaper reading guide</w:t>
        </w:r>
      </w:hyperlink>
      <w:r>
        <w:t xml:space="preserve">:</w:t>
      </w:r>
      <w:r>
        <w:t xml:space="preserve"> </w:t>
      </w:r>
      <w:r>
        <w:t xml:space="preserve">Track 2 carries the AD → Entra ID arc from</w:t>
      </w:r>
      <w:r>
        <w:t xml:space="preserve"> </w:t>
      </w:r>
      <w:hyperlink r:id="rId13">
        <w:r>
          <w:rPr>
            <w:rStyle w:val="Hyperlink"/>
          </w:rPr>
          <w:t xml:space="preserve">the structural migration problem</w:t>
        </w:r>
      </w:hyperlink>
      <w:r>
        <w:t xml:space="preserve"> </w:t>
      </w:r>
      <w:r>
        <w:t xml:space="preserve">through</w:t>
      </w:r>
      <w:r>
        <w:t xml:space="preserve"> </w:t>
      </w:r>
      <w:hyperlink r:id="rId19">
        <w:r>
          <w:rPr>
            <w:rStyle w:val="Hyperlink"/>
          </w:rPr>
          <w:t xml:space="preserve">flipping 50,000 devices to hybrid join</w:t>
        </w:r>
      </w:hyperlink>
      <w:r>
        <w:t xml:space="preserve">,</w:t>
      </w:r>
      <w:r>
        <w:t xml:space="preserve"> </w:t>
      </w:r>
      <w:r>
        <w:t xml:space="preserve">and Track 4 carries the network and infrastructure decisions — transport</w:t>
      </w:r>
      <w:r>
        <w:t xml:space="preserve"> </w:t>
      </w:r>
      <w:r>
        <w:t xml:space="preserve">under TIC 3.0, DNS in the hybrid multi-cloud, and the field-office WAN</w:t>
      </w:r>
      <w:r>
        <w:t xml:space="preserve"> </w:t>
      </w:r>
      <w:r>
        <w:t xml:space="preserve">case. These ship in the Modernization kit’s</w:t>
      </w:r>
      <w:r>
        <w:t xml:space="preserve"> </w:t>
      </w:r>
      <w:r>
        <w:rPr>
          <w:rStyle w:val="VerbatimChar"/>
        </w:rPr>
        <w:t xml:space="preserve">Whitepapers/</w:t>
      </w:r>
      <w:r>
        <w:t xml:space="preserve"> </w:t>
      </w:r>
      <w:r>
        <w:t xml:space="preserve">folder.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seam to its sibling</w:t>
      </w:r>
      <w:r>
        <w:t xml:space="preserve"> </w:t>
      </w:r>
      <w:r>
        <w:t xml:space="preserve">— the evidence Modernization’s changes produce</w:t>
      </w:r>
      <w:r>
        <w:t xml:space="preserve"> </w:t>
      </w:r>
      <w:r>
        <w:t xml:space="preserve">is what Compliance proves; adopt either alone, or both together.</w:t>
      </w:r>
    </w:p>
    <w:bookmarkEnd w:id="20"/>
    <w:bookmarkStart w:id="23" w:name="macdr"/>
    <w:p>
      <w:pPr>
        <w:pStyle w:val="Heading2"/>
      </w:pPr>
      <w:r>
        <w:t xml:space="preserve">One lifecycle, two pillars</w:t>
      </w:r>
    </w:p>
    <w:p>
      <w:pPr>
        <w:pStyle w:val="FirstParagraph"/>
      </w:pPr>
      <w:r>
        <w:t xml:space="preserve">Every operational change the substrate touches — every</w:t>
      </w:r>
      <w:r>
        <w:t xml:space="preserve"> </w:t>
      </w:r>
      <w:r>
        <w:rPr>
          <w:b/>
          <w:bCs/>
        </w:rPr>
        <w:t xml:space="preserve">Move, Add, Change,</w:t>
      </w:r>
      <w:r>
        <w:rPr>
          <w:b/>
          <w:bCs/>
        </w:rPr>
        <w:t xml:space="preserve"> </w:t>
      </w:r>
      <w:r>
        <w:rPr>
          <w:b/>
          <w:bCs/>
        </w:rPr>
        <w:t xml:space="preserve">Deletion, and Reset (MACD-R)</w:t>
      </w:r>
      <w:r>
        <w:t xml:space="preserve"> </w:t>
      </w:r>
      <w:r>
        <w:t xml:space="preserve">— travels the same five-clause authorized</w:t>
      </w:r>
      <w:r>
        <w:t xml:space="preserve"> </w:t>
      </w:r>
      <w:r>
        <w:t xml:space="preserve">path:</w:t>
      </w:r>
      <w:r>
        <w:t xml:space="preserve"> </w:t>
      </w:r>
      <w:r>
        <w:rPr>
          <w:b/>
          <w:bCs/>
        </w:rPr>
        <w:t xml:space="preserve">it originates with the SSOT → carries an authoritative authorization</w:t>
      </w:r>
      <w:r>
        <w:rPr>
          <w:b/>
          <w:bCs/>
        </w:rPr>
        <w:t xml:space="preserve"> </w:t>
      </w:r>
      <w:r>
        <w:rPr>
          <w:b/>
          <w:bCs/>
        </w:rPr>
        <w:t xml:space="preserve">→ executes under least privilege with just-in-time elevation (PIM) → closes</w:t>
      </w:r>
      <w:r>
        <w:rPr>
          <w:b/>
          <w:bCs/>
        </w:rPr>
        <w:t xml:space="preserve"> </w:t>
      </w:r>
      <w:r>
        <w:rPr>
          <w:b/>
          <w:bCs/>
        </w:rPr>
        <w:t xml:space="preserve">with provenance → emits verified, secured evidence automatically to</w:t>
      </w:r>
      <w:r>
        <w:rPr>
          <w:b/>
          <w:bCs/>
        </w:rPr>
        <w:t xml:space="preserve"> </w:t>
      </w:r>
      <w:r>
        <w:rPr>
          <w:b/>
          <w:bCs/>
        </w:rPr>
        <w:t xml:space="preserve">continuous monitoring.</w:t>
      </w:r>
      <w:r>
        <w:t xml:space="preserve"> </w:t>
      </w:r>
      <w:r>
        <w:t xml:space="preserve">Modernization applies the law at migration scale: a wave</w:t>
      </w:r>
      <w:r>
        <w:t xml:space="preserve"> </w:t>
      </w:r>
      <w:r>
        <w:t xml:space="preserve">is a batch of Moves originated by the modernization plan’s source of truth,</w:t>
      </w:r>
      <w:r>
        <w:t xml:space="preserve"> </w:t>
      </w:r>
      <w:r>
        <w:t xml:space="preserve">each executed under a just-in-time role and each emitting per-object</w:t>
      </w:r>
      <w:r>
        <w:t xml:space="preserve"> </w:t>
      </w:r>
      <w:r>
        <w:t xml:space="preserve">closure evidence — which is how a migration stays an audited operation</w:t>
      </w:r>
      <w:r>
        <w:t xml:space="preserve"> </w:t>
      </w:r>
      <w:r>
        <w:t xml:space="preserve">instead of a weekend of standing admin rights. The non-human classes Modernization</w:t>
      </w:r>
      <w:r>
        <w:t xml:space="preserve"> </w:t>
      </w:r>
      <w:r>
        <w:t xml:space="preserve">moves have designated SSOTs of their own: devices originate in the</w:t>
      </w:r>
      <w:r>
        <w:t xml:space="preserve"> </w:t>
      </w:r>
      <w:r>
        <w:t xml:space="preserve">asset-lifecycle registry (MDM enrollment is enforcement, not truth),</w:t>
      </w:r>
      <w:r>
        <w:t xml:space="preserve"> </w:t>
      </w:r>
      <w:r>
        <w:t xml:space="preserve">declared infrastructure originates in the IaC repository, and every item</w:t>
      </w:r>
      <w:r>
        <w:t xml:space="preserve"> </w:t>
      </w:r>
      <w:r>
        <w:t xml:space="preserve">migrated must carry a human owner resolvable in the HR SSOT — an ownerless</w:t>
      </w:r>
      <w:r>
        <w:t xml:space="preserve"> </w:t>
      </w:r>
      <w:r>
        <w:t xml:space="preserve">item is an orphan finding before it is a migration candidate. The full</w:t>
      </w:r>
      <w:r>
        <w:t xml:space="preserve"> </w:t>
      </w:r>
      <w:r>
        <w:t xml:space="preserve">doctrine — including Closure Provenance (</w:t>
      </w:r>
      <w:r>
        <w:t xml:space="preserve">“no closure counts unless it</w:t>
      </w:r>
      <w:r>
        <w:t xml:space="preserve"> </w:t>
      </w:r>
      <w:r>
        <w:t xml:space="preserve">carries its proof”</w:t>
      </w:r>
      <w:r>
        <w:t xml:space="preserve">) and the per-class</w:t>
      </w:r>
      <w:r>
        <w:t xml:space="preserve"> </w:t>
      </w:r>
      <w:hyperlink r:id="rId21">
        <w:r>
          <w:rPr>
            <w:rStyle w:val="Hyperlink"/>
          </w:rPr>
          <w:t xml:space="preserve">SSOT Registry</w:t>
        </w:r>
      </w:hyperlink>
      <w:r>
        <w:t xml:space="preserve"> </w:t>
      </w:r>
      <w:r>
        <w:t xml:space="preserve">— is stated in</w:t>
      </w:r>
      <w:r>
        <w:t xml:space="preserve"> </w:t>
      </w:r>
      <w:hyperlink r:id="rId22">
        <w:r>
          <w:rPr>
            <w:rStyle w:val="Hyperlink"/>
          </w:rPr>
          <w:t xml:space="preserve">Compliance Vol 0 Book 00</w:t>
        </w:r>
      </w:hyperlink>
      <w:r>
        <w:t xml:space="preserve">.</w:t>
      </w:r>
    </w:p>
    <w:bookmarkEnd w:id="23"/>
    <w:bookmarkStart w:id="24" w:name="current-state"/>
    <w:p>
      <w:pPr>
        <w:pStyle w:val="Heading2"/>
      </w:pPr>
      <w:r>
        <w:t xml:space="preserve">Current state</w:t>
      </w:r>
    </w:p>
    <w:p>
      <w:pPr>
        <w:pStyle w:val="FirstParagraph"/>
      </w:pPr>
      <w:r>
        <w:t xml:space="preserve">Modernization’s adoption state is tracked component-by-component on the</w:t>
      </w:r>
      <w:r>
        <w:t xml:space="preserve"> </w:t>
      </w:r>
      <w:r>
        <w:t xml:space="preserve">Substrate Status page — the candid map of</w:t>
      </w:r>
      <w:r>
        <w:t xml:space="preserve"> </w:t>
      </w:r>
      <w:r>
        <w:t xml:space="preserve">what is implemented, partial, and aspirational today.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22" Target="../compliance/Vol_0_Book_00_Executive_Summary.md#macdr-lifecycle" TargetMode="External" /><Relationship Type="http://schemas.openxmlformats.org/officeDocument/2006/relationships/hyperlink" Id="rId21" Target="../compliance/Vol_0_Book_00_Executive_Summary.md#ssot-registry" TargetMode="External" /><Relationship Type="http://schemas.openxmlformats.org/officeDocument/2006/relationships/hyperlink" Id="rId18" Target="../operational-guides/access-plane/conditional-access-library.md" TargetMode="External" /><Relationship Type="http://schemas.openxmlformats.org/officeDocument/2006/relationships/hyperlink" Id="rId17" Target="../operational-guides/target-surface/intune-policy-templates.md" TargetMode="External" /><Relationship Type="http://schemas.openxmlformats.org/officeDocument/2006/relationships/hyperlink" Id="rId12" Target="../reference-architecture/directory-migration.md" TargetMode="External" /><Relationship Type="http://schemas.openxmlformats.org/officeDocument/2006/relationships/hyperlink" Id="rId13" Target="../whitepapers/ad-to-entraid-migration-problem.md" TargetMode="External" /><Relationship Type="http://schemas.openxmlformats.org/officeDocument/2006/relationships/hyperlink" Id="rId19" Target="../whitepapers/hybrid-join-without-governance.md" TargetMode="External" /><Relationship Type="http://schemas.openxmlformats.org/officeDocument/2006/relationships/hyperlink" Id="rId14" Target="../whitepapers/modernization-journey.md" TargetMode="External" /><Relationship Type="http://schemas.openxmlformats.org/officeDocument/2006/relationships/hyperlink" Id="rId15" Target="../whitepapers/reading-guid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../compliance/Vol_0_Book_00_Executive_Summary.md#macdr-lifecycle" TargetMode="External" /><Relationship Type="http://schemas.openxmlformats.org/officeDocument/2006/relationships/hyperlink" Id="rId21" Target="../compliance/Vol_0_Book_00_Executive_Summary.md#ssot-registry" TargetMode="External" /><Relationship Type="http://schemas.openxmlformats.org/officeDocument/2006/relationships/hyperlink" Id="rId18" Target="../operational-guides/access-plane/conditional-access-library.md" TargetMode="External" /><Relationship Type="http://schemas.openxmlformats.org/officeDocument/2006/relationships/hyperlink" Id="rId17" Target="../operational-guides/target-surface/intune-policy-templates.md" TargetMode="External" /><Relationship Type="http://schemas.openxmlformats.org/officeDocument/2006/relationships/hyperlink" Id="rId12" Target="../reference-architecture/directory-migration.md" TargetMode="External" /><Relationship Type="http://schemas.openxmlformats.org/officeDocument/2006/relationships/hyperlink" Id="rId13" Target="../whitepapers/ad-to-entraid-migration-problem.md" TargetMode="External" /><Relationship Type="http://schemas.openxmlformats.org/officeDocument/2006/relationships/hyperlink" Id="rId19" Target="../whitepapers/hybrid-join-without-governance.md" TargetMode="External" /><Relationship Type="http://schemas.openxmlformats.org/officeDocument/2006/relationships/hyperlink" Id="rId14" Target="../whitepapers/modernization-journey.md" TargetMode="External" /><Relationship Type="http://schemas.openxmlformats.org/officeDocument/2006/relationships/hyperlink" Id="rId15" Target="../whitepapers/reading-guid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Modernization — Modernization</dc:title>
  <dc:creator/>
  <cp:keywords/>
  <dcterms:created xsi:type="dcterms:W3CDTF">2026-10-19T10:10:48Z</dcterms:created>
  <dcterms:modified xsi:type="dcterms:W3CDTF">2026-10-19T10:10:48Z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doc-type">
    <vt:lpwstr>section-landing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subtitle">
    <vt:lpwstr>The modernization expression of the Federal Modernization Program substrate: migration without rip-and-replace, governed by the same spine</vt:lpwstr>
  </property>
  <property fmtid="{D5CDD505-2E9C-101B-9397-08002B2CF9AE}" pid="10" name="toc-title">
    <vt:lpwstr>Table of contents</vt:lpwstr>
  </property>
</Properties>
</file>