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svg" ContentType="image/svg+xml"/>
  <Override PartName="/word/media/rId21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Reference Architecture and the Five Critical Decisions</w:t>
      </w:r>
    </w:p>
    <w:p>
      <w:pPr>
        <w:pStyle w:val="Subtitle"/>
      </w:pPr>
      <w:r>
        <w:t xml:space="preserve">One authoritative policy plane, and the decisions that carry the operational risk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8" w:name="Xf7a4501d055e998db833032d7c3b7b1f9db4355"/>
    <w:p>
      <w:pPr>
        <w:pStyle w:val="Heading1"/>
      </w:pPr>
      <w:r>
        <w:t xml:space="preserve">Chapter 08 — Reference Architecture and the Five Critical Decisions</w:t>
      </w:r>
    </w:p>
    <w:p>
      <w:pPr>
        <w:pStyle w:val="FirstParagraph"/>
      </w:pPr>
      <w:r>
        <w:rPr>
          <w:i/>
          <w:iCs/>
        </w:rPr>
        <w:t xml:space="preserve">One authoritative policy plane, and the decisions that carry the operational risk.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next-generation-ddi-ch08-bundle.docx</w:t>
              </w:r>
            </w:hyperlink>
            <w:r>
              <w:t xml:space="preserve">: this chapter as a Word document, with its figures. The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whole book</w:t>
              </w:r>
            </w:hyperlink>
            <w:r>
              <w:t xml:space="preserve"> </w:t>
            </w:r>
            <w:r>
              <w:t xml:space="preserve">is also available.</w:t>
            </w:r>
          </w:p>
          <w:p/>
        </w:tc>
      </w:tr>
    </w:tbl>
    <w:bookmarkStart w:id="19" w:name="X6c04e50abcbfcfe7e2cf29e9067624df33f3217"/>
    <w:p>
      <w:pPr>
        <w:pStyle w:val="Heading2"/>
      </w:pPr>
      <w:r>
        <w:t xml:space="preserve">The End-to-End Resolution Flow and Five Decisions</w:t>
      </w:r>
    </w:p>
    <w:p>
      <w:pPr>
        <w:pStyle w:val="CaptionedFigure"/>
      </w:pPr>
      <w:r>
        <w:drawing>
          <wp:inline>
            <wp:extent cx="5334000" cy="4239610"/>
            <wp:effectExtent b="0" l="0" r="0" t="0"/>
            <wp:docPr descr="Reference architecture: a single authoritative DDI policy plane and the five decisions." title="" id="15" name="Picture"/>
            <a:graphic>
              <a:graphicData uri="http://schemas.openxmlformats.org/drawingml/2006/picture">
                <pic:pic>
                  <pic:nvPicPr>
                    <pic:cNvPr descr="../images/diagrams/next-generation-ddi/svg/ch08-reference-architecture.svg" id="1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39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Reference architecture: a single authoritative DDI policy plane and the five decisions.</w:t>
      </w:r>
    </w:p>
    <w:p>
      <w:pPr>
        <w:pStyle w:val="BodyText"/>
      </w:pPr>
      <w:r>
        <w:t xml:space="preserve">The end-to-end resolution flow runs from the SD-WAN branch edge, through a network-addressable agency-controlled resolver, into the DDI policy plane (policy, response policy zones, DNSSEC, IPAM) and on to per-cloud private zones and authoritative services. Internet-bound recursion leaves through CISA Protective DNS.</w:t>
      </w:r>
      <w:r>
        <w:rPr>
          <w:rStyle w:val="FootnoteReference"/>
        </w:rPr>
        <w:footnoteReference w:id="17"/>
      </w:r>
      <w:r>
        <w:t xml:space="preserve"> </w:t>
      </w:r>
      <w:r>
        <w:t xml:space="preserve">Five decisions carry almost all of the operational risk: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Decision 1 — the redirect-dns destination.</w:t>
      </w:r>
      <w:r>
        <w:t xml:space="preserve"> </w:t>
      </w:r>
      <w:r>
        <w:t xml:space="preserve">It must be a network-addressable resolver under agency control (a DDI resolver or forwarding proxy at the branch or in a regional hub), never a client-side loopback stub such as an endpoint agent listening on 127.0.0.1, which the edge cannot reach.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Decision 2 — forwarding chain order.</w:t>
      </w:r>
      <w:r>
        <w:t xml:space="preserve"> </w:t>
      </w:r>
      <w:r>
        <w:t xml:space="preserve">Any additional resolver, such as a SASE provider’s DNS service, must be a forwarding target of the agency-controlled resolver, never the redirect-dns target. The agency resolver is always the first hop under agency policy control.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Decision 3 — per-cloud conditional forwarding.</w:t>
      </w:r>
      <w:r>
        <w:t xml:space="preserve"> </w:t>
      </w:r>
      <w:r>
        <w:t xml:space="preserve">The policy plane holds the authoritative forwarding rules for every private namespace (Chapter 07).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Decision 4 — AD DNS inventory before retirement.</w:t>
      </w:r>
      <w:r>
        <w:t xml:space="preserve"> </w:t>
      </w:r>
      <w:r>
        <w:t xml:space="preserve">SRV records, conditional forwarders and namespace delegations are inventoried and reprovisioned before any domain controller is decommissioned (Chapter 04).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Decision 5 — OCSP and CRL reachability from every origin.</w:t>
      </w:r>
      <w:r>
        <w:t xml:space="preserve"> </w:t>
      </w:r>
      <w:r>
        <w:t xml:space="preserve">PKI validation endpoints must resolve consistently from on-premises, every cloud and every branch (Chapter 06).</w:t>
      </w:r>
    </w:p>
    <w:bookmarkEnd w:id="19"/>
    <w:bookmarkStart w:id="27" w:name="Xa2c5b2ff6c7419211ce62ed15a0862d7a9f44c9"/>
    <w:p>
      <w:pPr>
        <w:pStyle w:val="Heading2"/>
      </w:pPr>
      <w:r>
        <w:t xml:space="preserve">Moving from Per-Cloud Local Syncs to a Unified Control Plane</w:t>
      </w:r>
    </w:p>
    <w:p>
      <w:pPr>
        <w:pStyle w:val="FirstParagraph"/>
      </w:pPr>
      <w:r>
        <w:t xml:space="preserve">Agencies that already copy DNS records into each cloud provider should change the operating model from</w:t>
      </w:r>
      <w:r>
        <w:t xml:space="preserve"> </w:t>
      </w:r>
      <w:r>
        <w:t xml:space="preserve">“author copies in every silo”</w:t>
      </w:r>
      <w:r>
        <w:t xml:space="preserve"> </w:t>
      </w:r>
      <w:r>
        <w:t xml:space="preserve">to</w:t>
      </w:r>
      <w:r>
        <w:t xml:space="preserve"> </w:t>
      </w:r>
      <w:r>
        <w:t xml:space="preserve">“one authoritative policy and state plane that the silos consume.”</w:t>
      </w:r>
    </w:p>
    <w:bookmarkStart w:id="20" w:name="target-operating-model"/>
    <w:p>
      <w:pPr>
        <w:pStyle w:val="Heading3"/>
      </w:pPr>
      <w:r>
        <w:t xml:space="preserve">Target Operating Model</w:t>
      </w:r>
    </w:p>
    <w:p>
      <w:pPr>
        <w:pStyle w:val="Compact"/>
        <w:numPr>
          <w:ilvl w:val="0"/>
          <w:numId w:val="1002"/>
        </w:numPr>
      </w:pPr>
      <w:r>
        <w:t xml:space="preserve">The DDI policy plane holds the system of record for zones, forwarding rules, IPAM data and security policy.</w:t>
      </w:r>
    </w:p>
    <w:p>
      <w:pPr>
        <w:pStyle w:val="Compact"/>
        <w:numPr>
          <w:ilvl w:val="0"/>
          <w:numId w:val="1002"/>
        </w:numPr>
      </w:pPr>
      <w:r>
        <w:t xml:space="preserve">Cloud DNS services (Route 53, Azure Private DNS, Google Cloud DNS and others) become synchronized targets or forwarding destinations rather than independently authored sources.</w:t>
      </w:r>
    </w:p>
    <w:p>
      <w:pPr>
        <w:pStyle w:val="Compact"/>
        <w:numPr>
          <w:ilvl w:val="0"/>
          <w:numId w:val="1002"/>
        </w:numPr>
      </w:pPr>
      <w:r>
        <w:t xml:space="preserve">SD-WAN redirect-dns and other edge interceptors point at network-addressable resolvers inside the governed path.</w:t>
      </w:r>
    </w:p>
    <w:p>
      <w:pPr>
        <w:pStyle w:val="Compact"/>
        <w:numPr>
          <w:ilvl w:val="0"/>
          <w:numId w:val="1002"/>
        </w:numPr>
      </w:pPr>
      <w:r>
        <w:t xml:space="preserve">AD DNS is inventoried and either coexists during the transition or is migrated; Entra ID does not inherit SRV, LDAP or Kerberos records.</w:t>
      </w:r>
    </w:p>
    <w:bookmarkEnd w:id="20"/>
    <w:bookmarkStart w:id="26" w:name="expected-improvements"/>
    <w:p>
      <w:pPr>
        <w:pStyle w:val="Heading3"/>
      </w:pPr>
      <w:r>
        <w:t xml:space="preserve">Expected Improvements</w:t>
      </w:r>
    </w:p>
    <w:p>
      <w:pPr>
        <w:pStyle w:val="Compact"/>
        <w:numPr>
          <w:ilvl w:val="0"/>
          <w:numId w:val="1003"/>
        </w:numPr>
      </w:pPr>
      <w:r>
        <w:t xml:space="preserve">Far less unintentional split-brain for private endpoints and SaaS resolution.</w:t>
      </w:r>
    </w:p>
    <w:p>
      <w:pPr>
        <w:pStyle w:val="Compact"/>
        <w:numPr>
          <w:ilvl w:val="0"/>
          <w:numId w:val="1003"/>
        </w:numPr>
      </w:pPr>
      <w:r>
        <w:t xml:space="preserve">Faster, safer change: a new private endpoint or application namespace is published once.</w:t>
      </w:r>
    </w:p>
    <w:p>
      <w:pPr>
        <w:pStyle w:val="Compact"/>
        <w:numPr>
          <w:ilvl w:val="0"/>
          <w:numId w:val="1003"/>
        </w:numPr>
      </w:pPr>
      <w:r>
        <w:t xml:space="preserve">Uniform Protective DNS, logging and, where required, DNSSEC validation for the queries that matter.</w:t>
      </w:r>
    </w:p>
    <w:p>
      <w:pPr>
        <w:pStyle w:val="Compact"/>
        <w:numPr>
          <w:ilvl w:val="0"/>
          <w:numId w:val="1003"/>
        </w:numPr>
      </w:pPr>
      <w:r>
        <w:t xml:space="preserve">One hybrid inventory instead of islands of address and name data.</w:t>
      </w:r>
    </w:p>
    <w:p>
      <w:pPr>
        <w:pStyle w:val="Compact"/>
        <w:numPr>
          <w:ilvl w:val="0"/>
          <w:numId w:val="1003"/>
        </w:numPr>
      </w:pPr>
      <w:r>
        <w:t xml:space="preserve">A cleaner AD retirement path and fewer</w:t>
      </w:r>
      <w:r>
        <w:t xml:space="preserve"> </w:t>
      </w:r>
      <w:r>
        <w:t xml:space="preserve">“works in one cloud but not another”</w:t>
      </w:r>
      <w:r>
        <w:t xml:space="preserve"> </w:t>
      </w:r>
      <w:r>
        <w:t xml:space="preserve">incidents.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What this chapter establishes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The governed path is SD-WAN edge, agency resolver, DDI policy plane, per-cloud private zones, with egress through Protective DNS.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Five decisions carry almost all of the operational risk.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Cloud DNS services become consumers of one authoritative state, not independently authored sources.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Previous:</w:t>
      </w:r>
      <w:r>
        <w:t xml:space="preserve"> </w:t>
      </w:r>
      <w:hyperlink r:id="rId24">
        <w:r>
          <w:rPr>
            <w:rStyle w:val="Hyperlink"/>
          </w:rPr>
          <w:t xml:space="preserve">Chapter 07 — Cloud Private Endpoints, SDN and IPAM Consistency</w:t>
        </w:r>
      </w:hyperlink>
      <w:r>
        <w:br/>
      </w:r>
      <w:r>
        <w:rPr>
          <w:b/>
          <w:bCs/>
        </w:rPr>
        <w:t xml:space="preserve">Next:</w:t>
      </w:r>
      <w:r>
        <w:t xml:space="preserve"> </w:t>
      </w:r>
      <w:hyperlink r:id="rId25">
        <w:r>
          <w:rPr>
            <w:rStyle w:val="Hyperlink"/>
          </w:rPr>
          <w:t xml:space="preserve">Chapter 09 — The Migration Sequence</w:t>
        </w:r>
      </w:hyperlink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CISA, Protective Domain Name System (DNS) Resolver service.</w:t>
      </w:r>
      <w:r>
        <w:t xml:space="preserve"> </w:t>
      </w:r>
      <w:hyperlink r:id="rId18">
        <w:r>
          <w:rPr>
            <w:rStyle w:val="Hyperlink"/>
          </w:rPr>
          <w:t xml:space="preserve">https://www.cisa.gov/resources-tools/services/protective-domain-name-system-dns-resolver</w:t>
        </w:r>
      </w:hyperlink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svg" /><Relationship Type="http://schemas.openxmlformats.org/officeDocument/2006/relationships/image" Id="rId21" Target="media/rId21.png" /><Relationship Type="http://schemas.openxmlformats.org/officeDocument/2006/relationships/image" Id="rId9" Target="media/rId9.png" /><Relationship Type="http://schemas.openxmlformats.org/officeDocument/2006/relationships/hyperlink" Id="rId13" Target="../../downloads/next-generation-ddi-bundle.docx" TargetMode="External" /><Relationship Type="http://schemas.openxmlformats.org/officeDocument/2006/relationships/hyperlink" Id="rId12" Target="../../downloads/next-generation-ddi-ch08-bundle.docx" TargetMode="External" /><Relationship Type="http://schemas.openxmlformats.org/officeDocument/2006/relationships/hyperlink" Id="rId24" Target="07-cloud-private-endpoints-and-ipam.md" TargetMode="External" /><Relationship Type="http://schemas.openxmlformats.org/officeDocument/2006/relationships/hyperlink" Id="rId25" Target="09-migration-sequence.md" TargetMode="External" /><Relationship Type="http://schemas.openxmlformats.org/officeDocument/2006/relationships/hyperlink" Id="rId18" Target="https://www.cisa.gov/resources-tools/services/protective-domain-name-system-dns-resol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../../downloads/next-generation-ddi-bundle.docx" TargetMode="External" /><Relationship Type="http://schemas.openxmlformats.org/officeDocument/2006/relationships/hyperlink" Id="rId12" Target="../../downloads/next-generation-ddi-ch08-bundle.docx" TargetMode="External" /><Relationship Type="http://schemas.openxmlformats.org/officeDocument/2006/relationships/hyperlink" Id="rId24" Target="07-cloud-private-endpoints-and-ipam.md" TargetMode="External" /><Relationship Type="http://schemas.openxmlformats.org/officeDocument/2006/relationships/hyperlink" Id="rId25" Target="09-migration-sequence.md" TargetMode="External" /><Relationship Type="http://schemas.openxmlformats.org/officeDocument/2006/relationships/hyperlink" Id="rId18" Target="https://www.cisa.gov/resources-tools/services/protective-domain-name-system-dns-resol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Architecture and the Five Critical Decisions</dc:title>
  <dc:creator/>
  <cp:keywords/>
  <dcterms:created xsi:type="dcterms:W3CDTF">2026-10-19T10:10:51Z</dcterms:created>
  <dcterms:modified xsi:type="dcterms:W3CDTF">2026-10-19T10:10:51Z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doc-type">
    <vt:lpwstr>modernization-book-chapter</vt:lpwstr>
  </property>
  <property fmtid="{D5CDD505-2E9C-101B-9397-08002B2CF9AE}" pid="5" name="family">
    <vt:lpwstr>next-generation-ddi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active</vt:lpwstr>
  </property>
  <property fmtid="{D5CDD505-2E9C-101B-9397-08002B2CF9AE}" pid="11" name="lifecycle_review">
    <vt:lpwstr>2027-01-01</vt:lpwstr>
  </property>
  <property fmtid="{D5CDD505-2E9C-101B-9397-08002B2CF9AE}" pid="12" name="series-order">
    <vt:lpwstr>8</vt:lpwstr>
  </property>
  <property fmtid="{D5CDD505-2E9C-101B-9397-08002B2CF9AE}" pid="13" name="status">
    <vt:lpwstr>draft</vt:lpwstr>
  </property>
  <property fmtid="{D5CDD505-2E9C-101B-9397-08002B2CF9AE}" pid="14" name="subtitle">
    <vt:lpwstr>One authoritative policy plane, and the decisions that carry the operational risk</vt:lpwstr>
  </property>
  <property fmtid="{D5CDD505-2E9C-101B-9397-08002B2CF9AE}" pid="15" name="tiers_adopted">
    <vt:lpwstr/>
  </property>
  <property fmtid="{D5CDD505-2E9C-101B-9397-08002B2CF9AE}" pid="16" name="toc-title">
    <vt:lpwstr>Table of contents</vt:lpwstr>
  </property>
</Properties>
</file>