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01 — The Federal Modernization Program Platform Server</w:t>
      </w:r>
    </w:p>
    <w:p>
      <w:pPr>
        <w:pStyle w:val="Subtitle"/>
      </w:pPr>
      <w:r>
        <w:t xml:space="preserve">Windows Server 2025 + IIS + Gitea + Kerberos + enterprise PKI — the host that runs the transformation</w:t>
      </w:r>
    </w:p>
    <w:p>
      <w:pPr>
        <w:pStyle w:val="Date"/>
      </w:pPr>
      <w:r>
        <w:t xml:space="preserve">2026-04-24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7" w:name="Xa82d0ae35103113ca1731cd28615f036cb8f69f"/>
    <w:p>
      <w:pPr>
        <w:pStyle w:val="Heading1"/>
      </w:pPr>
      <w:r>
        <w:t xml:space="preserve">Chapter 01 — The Federal Modernization Program Platform Server</w:t>
      </w:r>
    </w:p>
    <w:p>
      <w:pPr>
        <w:pStyle w:val="FirstParagraph"/>
      </w:pPr>
      <w:r>
        <w:rPr>
          <w:i/>
          <w:iCs/>
        </w:rPr>
        <w:t xml:space="preserve">Windows Server 2025 + IIS + Gitea + Kerberos + enterprise PKI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architectural claim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Everything the Federal Modernization Program does — every analysis, every plan, every delivery, every</w:t>
            </w:r>
            <w:r>
              <w:t xml:space="preserve"> </w:t>
            </w:r>
            <w:r>
              <w:t xml:space="preserve">evidence artifact — runs on one Windows Server 2025 host. Not a cluster,</w:t>
            </w:r>
            <w:r>
              <w:t xml:space="preserve"> </w:t>
            </w:r>
            <w:r>
              <w:t xml:space="preserve">not a microservice mesh, not a cloud-native control plane. One host.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This is a deliberate, governed choice, not a simplification. This chapter</w:t>
            </w:r>
            <w:r>
              <w:t xml:space="preserve"> </w:t>
            </w:r>
            <w:r>
              <w:t xml:space="preserve">explains why.</w:t>
            </w:r>
          </w:p>
          <w:p/>
        </w:tc>
      </w:tr>
    </w:tbl>
    <w:bookmarkStart w:id="12" w:name="why-one-host"/>
    <w:p>
      <w:pPr>
        <w:pStyle w:val="Heading2"/>
      </w:pPr>
      <w:r>
        <w:t xml:space="preserve">Why one host</w:t>
      </w:r>
    </w:p>
    <w:p>
      <w:pPr>
        <w:pStyle w:val="FirstParagraph"/>
      </w:pPr>
      <w:r>
        <w:t xml:space="preserve">The Federal Modernization Program platform server is a governance substrate, not an application.</w:t>
      </w:r>
      <w:r>
        <w:t xml:space="preserve"> </w:t>
      </w:r>
      <w:r>
        <w:t xml:space="preserve">Governance substrates have properties that application servers don’t: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Single source of truth.</w:t>
      </w:r>
      <w:r>
        <w:t xml:space="preserve"> </w:t>
      </w:r>
      <w:r>
        <w:t xml:space="preserve">There is exactly one Gitea repo that holds</w:t>
      </w:r>
      <w:r>
        <w:t xml:space="preserve"> </w:t>
      </w:r>
      <w:r>
        <w:t xml:space="preserve">the canon. Two hosts can’t both be authoritative; they’d diverge.</w:t>
      </w:r>
      <w:r>
        <w:t xml:space="preserve"> </w:t>
      </w:r>
      <w:r>
        <w:t xml:space="preserve">Replication is for resilience and recovery, not active-active</w:t>
      </w:r>
      <w:r>
        <w:t xml:space="preserve"> </w:t>
      </w:r>
      <w:r>
        <w:t xml:space="preserve">load-sharing — and where high availability is required, a hot-standby</w:t>
      </w:r>
      <w:r>
        <w:t xml:space="preserve"> </w:t>
      </w:r>
      <w:r>
        <w:t xml:space="preserve">replica with automatic, witness-gated failover keeps that single</w:t>
      </w:r>
      <w:r>
        <w:t xml:space="preserve"> </w:t>
      </w:r>
      <w:r>
        <w:t xml:space="preserve">authority continuously available without ever creating a second</w:t>
      </w:r>
      <w:r>
        <w:t xml:space="preserve"> </w:t>
      </w:r>
      <w:r>
        <w:t xml:space="preserve">writer (the program decision).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Deterministic provenance.</w:t>
      </w:r>
      <w:r>
        <w:t xml:space="preserve"> </w:t>
      </w:r>
      <w:r>
        <w:t xml:space="preserve">Every plan, every delivery, every drift</w:t>
      </w:r>
      <w:r>
        <w:t xml:space="preserve"> </w:t>
      </w:r>
      <w:r>
        <w:t xml:space="preserve">report must be traceable to a commit on the canonical repo. A</w:t>
      </w:r>
      <w:r>
        <w:t xml:space="preserve"> </w:t>
      </w:r>
      <w:r>
        <w:t xml:space="preserve">distributed-by-default architecture dilutes provenance; a single-host</w:t>
      </w:r>
      <w:r>
        <w:t xml:space="preserve"> </w:t>
      </w:r>
      <w:r>
        <w:t xml:space="preserve">architecture concentrates 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Bounded attack surface.</w:t>
      </w:r>
      <w:r>
        <w:t xml:space="preserve"> </w:t>
      </w:r>
      <w:r>
        <w:t xml:space="preserve">Zero-trust federal environments score a</w:t>
      </w:r>
      <w:r>
        <w:t xml:space="preserve"> </w:t>
      </w:r>
      <w:r>
        <w:t xml:space="preserve">single hardened Tier-0 host lower-risk than a fleet of loosely-coupled</w:t>
      </w:r>
      <w:r>
        <w:t xml:space="preserve"> </w:t>
      </w:r>
      <w:r>
        <w:t xml:space="preserve">services. The CIS baseline + AppLocker + WDAC story is cleaner on one</w:t>
      </w:r>
      <w:r>
        <w:t xml:space="preserve"> </w:t>
      </w:r>
      <w:r>
        <w:t xml:space="preserve">host.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Operational simplicity.</w:t>
      </w:r>
      <w:r>
        <w:t xml:space="preserve"> </w:t>
      </w:r>
      <w:r>
        <w:t xml:space="preserve">One host means one patch cadence, one</w:t>
      </w:r>
      <w:r>
        <w:t xml:space="preserve"> </w:t>
      </w:r>
      <w:r>
        <w:t xml:space="preserve">backup policy, one DR playbook, one set of Intune compliance rules,</w:t>
      </w:r>
      <w:r>
        <w:t xml:space="preserve"> </w:t>
      </w:r>
      <w:r>
        <w:t xml:space="preserve">one Arc enrollment, one set of resource tags. Complexity scales badly in</w:t>
      </w:r>
      <w:r>
        <w:t xml:space="preserve"> </w:t>
      </w:r>
      <w:r>
        <w:t xml:space="preserve">governance systems because every extra moving part is an extra source</w:t>
      </w:r>
      <w:r>
        <w:t xml:space="preserve"> </w:t>
      </w:r>
      <w:r>
        <w:t xml:space="preserve">of drift.</w:t>
      </w:r>
    </w:p>
    <w:p>
      <w:pPr>
        <w:pStyle w:val="FirstParagraph"/>
      </w:pPr>
      <w:r>
        <w:t xml:space="preserve">Horizontal scale, when it becomes necessary, is handled at the target</w:t>
      </w:r>
      <w:r>
        <w:t xml:space="preserve"> </w:t>
      </w:r>
      <w:r>
        <w:t xml:space="preserve">surface layer — Entra, Intune, Arc, and vendor APIs scale natively — not</w:t>
      </w:r>
      <w:r>
        <w:t xml:space="preserve"> </w:t>
      </w:r>
      <w:r>
        <w:t xml:space="preserve">by fanning out the governance substrate.</w:t>
      </w:r>
    </w:p>
    <w:bookmarkEnd w:id="12"/>
    <w:bookmarkStart w:id="18" w:name="the-five-roles"/>
    <w:p>
      <w:pPr>
        <w:pStyle w:val="Heading2"/>
      </w:pPr>
      <w:r>
        <w:t xml:space="preserve">The five roles</w:t>
      </w:r>
    </w:p>
    <w:p>
      <w:pPr>
        <w:pStyle w:val="FirstParagraph"/>
      </w:pPr>
      <w:r>
        <w:t xml:space="preserve">A single host plays five distinct roles. Each maps to a specific</w:t>
      </w:r>
      <w:r>
        <w:t xml:space="preserve"> </w:t>
      </w:r>
      <w:r>
        <w:t xml:space="preserve">capability the transformation engine needs.</w:t>
      </w:r>
    </w:p>
    <w:bookmarkStart w:id="13" w:name="canonical-source-of-truth"/>
    <w:p>
      <w:pPr>
        <w:pStyle w:val="Heading3"/>
      </w:pPr>
      <w:r>
        <w:t xml:space="preserve">1. Canonical source of truth</w:t>
      </w:r>
    </w:p>
    <w:p>
      <w:pPr>
        <w:pStyle w:val="FirstParagraph"/>
      </w:pPr>
      <w:r>
        <w:rPr>
          <w:b/>
          <w:bCs/>
        </w:rPr>
        <w:t xml:space="preserve">Gitea.</w:t>
      </w:r>
      <w:r>
        <w:t xml:space="preserve"> </w:t>
      </w:r>
      <w:r>
        <w:t xml:space="preserve">Every governance artifact — dynamic</w:t>
      </w:r>
      <w:r>
        <w:t xml:space="preserve"> </w:t>
      </w:r>
      <w:r>
        <w:t xml:space="preserve">group rules, delegation matrices, transformation plans, policy</w:t>
      </w:r>
      <w:r>
        <w:t xml:space="preserve"> </w:t>
      </w:r>
      <w:r>
        <w:t xml:space="preserve">libraries, adapter manifests, drift reports — lives as a versioned file</w:t>
      </w:r>
      <w:r>
        <w:t xml:space="preserve"> </w:t>
      </w:r>
      <w:r>
        <w:t xml:space="preserve">in the Gitea repo. Nothing is an admin-portal click. Nothing is a</w:t>
      </w:r>
      <w:r>
        <w:t xml:space="preserve"> </w:t>
      </w:r>
      <w:r>
        <w:t xml:space="preserve">verbal assurance. Every change is a commit; every commit is signed;</w:t>
      </w:r>
      <w:r>
        <w:t xml:space="preserve"> </w:t>
      </w:r>
      <w:r>
        <w:t xml:space="preserve">every commit is attributable.</w:t>
      </w:r>
    </w:p>
    <w:p>
      <w:pPr>
        <w:pStyle w:val="BodyText"/>
      </w:pPr>
      <w:r>
        <w:t xml:space="preserve">Gitea is behind IIS (never exposed directly), anchored to enterprise</w:t>
      </w:r>
      <w:r>
        <w:t xml:space="preserve"> </w:t>
      </w:r>
      <w:r>
        <w:t xml:space="preserve">PKI for client-cert + HTTPS, and replicated to a standby. The baseline</w:t>
      </w:r>
      <w:r>
        <w:t xml:space="preserve"> </w:t>
      </w:r>
      <w:r>
        <w:t xml:space="preserve">posture is a cold standby with manual failover and an explicit RPO/RTO</w:t>
      </w:r>
      <w:r>
        <w:t xml:space="preserve"> </w:t>
      </w:r>
      <w:r>
        <w:t xml:space="preserve">target; an HA-enabled deployment uses a hot standby with automatic,</w:t>
      </w:r>
      <w:r>
        <w:t xml:space="preserve"> </w:t>
      </w:r>
      <w:r>
        <w:t xml:space="preserve">witness-gated failover — near-zero RPO, single-digit-minute RTO — per</w:t>
      </w:r>
      <w:r>
        <w:t xml:space="preserve"> </w:t>
      </w:r>
      <w:r>
        <w:t xml:space="preserve">the program decision. Off-premises backup to Azure Blob and the GitHub mirror remain</w:t>
      </w:r>
      <w:r>
        <w:t xml:space="preserve"> </w:t>
      </w:r>
      <w:r>
        <w:t xml:space="preserve">the floor for total-site loss.</w:t>
      </w:r>
    </w:p>
    <w:bookmarkEnd w:id="13"/>
    <w:bookmarkStart w:id="14" w:name="X9d071b32efad26ac5896c1669d3bed628df40f5"/>
    <w:p>
      <w:pPr>
        <w:pStyle w:val="Heading3"/>
      </w:pPr>
      <w:r>
        <w:t xml:space="preserve">2. HTTPS reverse proxy and client-cert terminator</w:t>
      </w:r>
    </w:p>
    <w:p>
      <w:pPr>
        <w:pStyle w:val="FirstParagraph"/>
      </w:pPr>
      <w:r>
        <w:rPr>
          <w:b/>
          <w:bCs/>
        </w:rPr>
        <w:t xml:space="preserve">IIS + URL Rewrite + ARR.</w:t>
      </w:r>
      <w:r>
        <w:t xml:space="preserve"> </w:t>
      </w:r>
      <w:r>
        <w:t xml:space="preserve">Every inbound request lands at IIS. IIS</w:t>
      </w:r>
      <w:r>
        <w:t xml:space="preserve"> </w:t>
      </w:r>
      <w:r>
        <w:t xml:space="preserve">does TLS termination, client-certificate mTLS (for admin access),</w:t>
      </w:r>
      <w:r>
        <w:t xml:space="preserve"> </w:t>
      </w:r>
      <w:r>
        <w:t xml:space="preserve">HSTS, HTTP/2, and forwards to Gitea on loopback port 3000. IIS is</w:t>
      </w:r>
      <w:r>
        <w:t xml:space="preserve"> </w:t>
      </w:r>
      <w:r>
        <w:t xml:space="preserve">also the AD LDAPS-aware auth landing point for Gitea’s</w:t>
      </w:r>
      <w:r>
        <w:t xml:space="preserve"> </w:t>
      </w:r>
      <w:r>
        <w:rPr>
          <w:rStyle w:val="VerbatimChar"/>
        </w:rPr>
        <w:t xml:space="preserve">source-config</w:t>
      </w:r>
      <w:r>
        <w:t xml:space="preserve"> </w:t>
      </w:r>
      <w:r>
        <w:t xml:space="preserve">lookups.</w:t>
      </w:r>
    </w:p>
    <w:p>
      <w:pPr>
        <w:pStyle w:val="BodyText"/>
      </w:pPr>
      <w:r>
        <w:t xml:space="preserve">This is the architecture endorsed by</w:t>
      </w:r>
      <w:r>
        <w:t xml:space="preserve"> </w:t>
      </w:r>
      <w:r>
        <w:rPr>
          <w:b/>
          <w:bCs/>
        </w:rPr>
        <w:t xml:space="preserve">the program decision (the Federal Modernization Program Git Infrastructure)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src/fmp/canon/adr/adr-041-fmp-git-infrastructure.md</w:t>
      </w:r>
      <w:r>
        <w:t xml:space="preserve"> </w:t>
      </w:r>
      <w:r>
        <w:t xml:space="preserve">— Gitea behind</w:t>
      </w:r>
      <w:r>
        <w:t xml:space="preserve"> </w:t>
      </w:r>
      <w:r>
        <w:t xml:space="preserve">IIS reverse proxy. Option A (IIS +</w:t>
      </w:r>
      <w:r>
        <w:t xml:space="preserve"> </w:t>
      </w:r>
      <w:r>
        <w:rPr>
          <w:rStyle w:val="VerbatimChar"/>
        </w:rPr>
        <w:t xml:space="preserve">git-http-backend</w:t>
      </w:r>
      <w:r>
        <w:t xml:space="preserve"> </w:t>
      </w:r>
      <w:r>
        <w:t xml:space="preserve">alone) was evaluated</w:t>
      </w:r>
      <w:r>
        <w:t xml:space="preserve"> </w:t>
      </w:r>
      <w:r>
        <w:t xml:space="preserve">and rejected on auth integration + operational complexity grounds; the</w:t>
      </w:r>
      <w:r>
        <w:t xml:space="preserve"> </w:t>
      </w:r>
      <w:r>
        <w:t xml:space="preserve">rejected variant is retained for lab use in</w:t>
      </w:r>
      <w:r>
        <w:t xml:space="preserve"> </w:t>
      </w:r>
      <w:r>
        <w:rPr>
          <w:rStyle w:val="VerbatimChar"/>
        </w:rPr>
        <w:t xml:space="preserve">git-server-implementation.qmd</w:t>
      </w:r>
      <w:r>
        <w:t xml:space="preserve">.</w:t>
      </w:r>
      <w:r>
        <w:t xml:space="preserve"> </w:t>
      </w:r>
      <w:r>
        <w:t xml:space="preserve">(Earlier revisions mis-cited the decision as the program decision; the program decision is the HAADJ</w:t>
      </w:r>
      <w:r>
        <w:t xml:space="preserve"> </w:t>
      </w:r>
      <w:r>
        <w:t xml:space="preserve">deprecation ADR, unrelated to Git infrastructure.)</w:t>
      </w:r>
    </w:p>
    <w:bookmarkEnd w:id="14"/>
    <w:bookmarkStart w:id="15" w:name="legacy-to-modern-auth-bridge"/>
    <w:p>
      <w:pPr>
        <w:pStyle w:val="Heading3"/>
      </w:pPr>
      <w:r>
        <w:t xml:space="preserve">3. Legacy-to-modern auth bridge</w:t>
      </w:r>
    </w:p>
    <w:p>
      <w:pPr>
        <w:pStyle w:val="FirstParagraph"/>
      </w:pPr>
      <w:r>
        <w:rPr>
          <w:b/>
          <w:bCs/>
        </w:rPr>
        <w:t xml:space="preserve">Kerberos + enterprise PKI.</w:t>
      </w:r>
      <w:r>
        <w:t xml:space="preserve"> </w:t>
      </w:r>
      <w:r>
        <w:t xml:space="preserve">The platform server holds simultaneous</w:t>
      </w:r>
      <w:r>
        <w:t xml:space="preserve"> </w:t>
      </w:r>
      <w:r>
        <w:t xml:space="preserve">memberships:</w:t>
      </w:r>
    </w:p>
    <w:p>
      <w:pPr>
        <w:pStyle w:val="Compact"/>
        <w:numPr>
          <w:ilvl w:val="0"/>
          <w:numId w:val="1002"/>
        </w:numPr>
      </w:pPr>
      <w:r>
        <w:t xml:space="preserve">It’s</w:t>
      </w:r>
      <w:r>
        <w:t xml:space="preserve"> </w:t>
      </w:r>
      <w:r>
        <w:rPr>
          <w:b/>
          <w:bCs/>
        </w:rPr>
        <w:t xml:space="preserve">domain-joined</w:t>
      </w:r>
      <w:r>
        <w:t xml:space="preserve"> </w:t>
      </w:r>
      <w:r>
        <w:t xml:space="preserve">to the legacy AD forest (for Kerberos-anchored</w:t>
      </w:r>
      <w:r>
        <w:t xml:space="preserve"> </w:t>
      </w:r>
      <w:r>
        <w:t xml:space="preserve">reads of the forest, GPOs, DNS zones, and ADCS).</w:t>
      </w:r>
    </w:p>
    <w:p>
      <w:pPr>
        <w:pStyle w:val="Compact"/>
        <w:numPr>
          <w:ilvl w:val="0"/>
          <w:numId w:val="1002"/>
        </w:numPr>
      </w:pPr>
      <w:r>
        <w:t xml:space="preserve">It’s</w:t>
      </w:r>
      <w:r>
        <w:t xml:space="preserve"> </w:t>
      </w:r>
      <w:r>
        <w:rPr>
          <w:b/>
          <w:bCs/>
        </w:rPr>
        <w:t xml:space="preserve">Entra-registered</w:t>
      </w:r>
      <w:r>
        <w:t xml:space="preserve"> </w:t>
      </w:r>
      <w:r>
        <w:t xml:space="preserve">(for OAuth2/OIDC inbound auth and Graph</w:t>
      </w:r>
      <w:r>
        <w:t xml:space="preserve"> </w:t>
      </w:r>
      <w:r>
        <w:t xml:space="preserve">API outbound calls).</w:t>
      </w:r>
    </w:p>
    <w:p>
      <w:pPr>
        <w:pStyle w:val="Compact"/>
        <w:numPr>
          <w:ilvl w:val="0"/>
          <w:numId w:val="1002"/>
        </w:numPr>
      </w:pPr>
      <w:r>
        <w:t xml:space="preserve">It holds an</w:t>
      </w:r>
      <w:r>
        <w:t xml:space="preserve"> </w:t>
      </w:r>
      <w:r>
        <w:rPr>
          <w:b/>
          <w:bCs/>
        </w:rPr>
        <w:t xml:space="preserve">enterprise-CA-issued server certificate</w:t>
      </w:r>
      <w:r>
        <w:t xml:space="preserve"> </w:t>
      </w:r>
      <w:r>
        <w:t xml:space="preserve">for IIS TLS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client certificate</w:t>
      </w:r>
      <w:r>
        <w:t xml:space="preserve"> </w:t>
      </w:r>
      <w:r>
        <w:t xml:space="preserve">for Arc + Intune enrollment.</w:t>
      </w:r>
    </w:p>
    <w:p>
      <w:pPr>
        <w:pStyle w:val="FirstParagraph"/>
      </w:pPr>
      <w:r>
        <w:t xml:space="preserve">The bridges are not redundant. The AD side is read-only by policy (the</w:t>
      </w:r>
      <w:r>
        <w:t xml:space="preserve"> </w:t>
      </w:r>
      <w:r>
        <w:rPr>
          <w:rStyle w:val="VerbatimChar"/>
        </w:rPr>
        <w:t xml:space="preserve">FMPADAssessment</w:t>
      </w:r>
      <w:r>
        <w:t xml:space="preserve"> </w:t>
      </w:r>
      <w:r>
        <w:t xml:space="preserve">PowerShell module runs with a least-privilege</w:t>
      </w:r>
      <w:r>
        <w:t xml:space="preserve"> </w:t>
      </w:r>
      <w:r>
        <w:t xml:space="preserve">account that has only the forest-reader rights it needs). The Entra</w:t>
      </w:r>
      <w:r>
        <w:t xml:space="preserve"> </w:t>
      </w:r>
      <w:r>
        <w:t xml:space="preserve">side is read-write (the transformation engine’s plans land there).</w:t>
      </w:r>
    </w:p>
    <w:bookmarkEnd w:id="15"/>
    <w:bookmarkStart w:id="16" w:name="transformation-engine-host"/>
    <w:p>
      <w:pPr>
        <w:pStyle w:val="Heading3"/>
      </w:pPr>
      <w:r>
        <w:t xml:space="preserve">4. Transformation engine host</w:t>
      </w:r>
    </w:p>
    <w:p>
      <w:pPr>
        <w:pStyle w:val="FirstParagraph"/>
      </w:pPr>
      <w:r>
        <w:rPr>
          <w:b/>
          <w:bCs/>
        </w:rPr>
        <w:t xml:space="preserve">PowerShell + Python + API integrator layer.</w:t>
      </w:r>
      <w:r>
        <w:t xml:space="preserve"> </w:t>
      </w:r>
      <w:r>
        <w:t xml:space="preserve">This is where</w:t>
      </w:r>
      <w:r>
        <w:t xml:space="preserve"> </w:t>
      </w:r>
      <w:r>
        <w:t xml:space="preserve">assessment, planning, and delivery actually happen.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PowerShell</w:t>
      </w:r>
      <w:r>
        <w:t xml:space="preserve"> </w:t>
      </w:r>
      <w:r>
        <w:t xml:space="preserve">(7.4+) handles AD-side reads (ActiveDirectory,</w:t>
      </w:r>
      <w:r>
        <w:t xml:space="preserve"> </w:t>
      </w:r>
      <w:r>
        <w:t xml:space="preserve">GroupPolicy, DnsServer, DhcpServer modules), Gitea API calls,</w:t>
      </w:r>
      <w:r>
        <w:t xml:space="preserve"> </w:t>
      </w:r>
      <w:r>
        <w:t xml:space="preserve">local-file provenance writes, and the Pester test harness.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Python</w:t>
      </w:r>
      <w:r>
        <w:t xml:space="preserve"> </w:t>
      </w:r>
      <w:r>
        <w:t xml:space="preserve">(3.12+) handles graph analysis (networkx for OU trees,</w:t>
      </w:r>
      <w:r>
        <w:t xml:space="preserve"> </w:t>
      </w:r>
      <w:r>
        <w:t xml:space="preserve">dependency graphs), OSCAL authoring, schema validation (FMP_158</w:t>
      </w:r>
      <w:r>
        <w:t xml:space="preserve"> </w:t>
      </w:r>
      <w:r>
        <w:t xml:space="preserve">JSON schema), and anything that benefits from a richer type</w:t>
      </w:r>
      <w:r>
        <w:t xml:space="preserve"> </w:t>
      </w:r>
      <w:r>
        <w:t xml:space="preserve">system or library ecosystem than PowerShell provides.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 integrators</w:t>
      </w:r>
      <w:r>
        <w:t xml:space="preserve"> </w:t>
      </w:r>
      <w:r>
        <w:t xml:space="preserve">wrap vendor APIs — Graph, ARM, Intune</w:t>
      </w:r>
      <w:r>
        <w:t xml:space="preserve"> </w:t>
      </w:r>
      <w:r>
        <w:t xml:space="preserve">management APIs, Infoblox WAPI, ServiceNow REST, CyberArk REST,</w:t>
      </w:r>
      <w:r>
        <w:t xml:space="preserve"> </w:t>
      </w:r>
      <w:r>
        <w:t xml:space="preserve">SCuBA/ScubaGear output ingestion — behind uniform contracts</w:t>
      </w:r>
      <w:r>
        <w:t xml:space="preserve"> </w:t>
      </w:r>
      <w:r>
        <w:t xml:space="preserve">defined in the DM_* adapter specs.</w:t>
      </w:r>
    </w:p>
    <w:p>
      <w:pPr>
        <w:pStyle w:val="FirstParagraph"/>
      </w:pPr>
      <w:r>
        <w:t xml:space="preserve">Both engines are governed: every script is in Gitea; every run</w:t>
      </w:r>
      <w:r>
        <w:t xml:space="preserve"> </w:t>
      </w:r>
      <w:r>
        <w:t xml:space="preserve">produces a signed, provenanced log entry; every API call is logged</w:t>
      </w:r>
      <w:r>
        <w:t xml:space="preserve"> </w:t>
      </w:r>
      <w:r>
        <w:t xml:space="preserve">with correlation IDs that tie back to a plan + commit.</w:t>
      </w:r>
    </w:p>
    <w:bookmarkEnd w:id="16"/>
    <w:bookmarkStart w:id="17" w:name="adapter-dispatcher"/>
    <w:p>
      <w:pPr>
        <w:pStyle w:val="Heading3"/>
      </w:pPr>
      <w:r>
        <w:t xml:space="preserve">5. Adapter dispatcher</w:t>
      </w:r>
    </w:p>
    <w:p>
      <w:pPr>
        <w:pStyle w:val="FirstParagraph"/>
      </w:pPr>
      <w:r>
        <w:rPr>
          <w:b/>
          <w:bCs/>
        </w:rPr>
        <w:t xml:space="preserve">DM_* and FMP_159 glue.</w:t>
      </w:r>
      <w:r>
        <w:t xml:space="preserve"> </w:t>
      </w:r>
      <w:r>
        <w:t xml:space="preserve">When the transformation engine needs to touch</w:t>
      </w:r>
      <w:r>
        <w:t xml:space="preserve"> </w:t>
      </w:r>
      <w:r>
        <w:t xml:space="preserve">a specific AD-dependency category (PKI, RADIUS, LDAP, DHCP, etc.), it</w:t>
      </w:r>
      <w:r>
        <w:t xml:space="preserve"> </w:t>
      </w:r>
      <w:r>
        <w:t xml:space="preserve">dispatches through the DM_* adapter interface. Each adapter</w:t>
      </w:r>
      <w:r>
        <w:t xml:space="preserve"> </w:t>
      </w:r>
      <w:r>
        <w:t xml:space="preserve">implementation (Infoblox, ADCS, Entrust, Cisco ISE, etc.) plugs in</w:t>
      </w:r>
      <w:r>
        <w:t xml:space="preserve"> </w:t>
      </w:r>
      <w:r>
        <w:t xml:space="preserve">behind the adapter interface; the engine never hard-codes vendor</w:t>
      </w:r>
      <w:r>
        <w:t xml:space="preserve"> </w:t>
      </w:r>
      <w:r>
        <w:t xml:space="preserve">specifics.</w:t>
      </w:r>
    </w:p>
    <w:p>
      <w:pPr>
        <w:pStyle w:val="BodyText"/>
      </w:pPr>
      <w:r>
        <w:t xml:space="preserve">The adapter dispatcher is also how the Federal Modernization Program stays vendor-pluggable. A new</w:t>
      </w:r>
      <w:r>
        <w:t xml:space="preserve"> </w:t>
      </w:r>
      <w:r>
        <w:t xml:space="preserve">IPAM vendor slots into DM_010 by implementing the adapter contract —</w:t>
      </w:r>
      <w:r>
        <w:t xml:space="preserve"> </w:t>
      </w:r>
      <w:r>
        <w:t xml:space="preserve">no transformation-engine changes required.</w:t>
      </w:r>
    </w:p>
    <w:bookmarkEnd w:id="17"/>
    <w:bookmarkEnd w:id="18"/>
    <w:bookmarkStart w:id="19" w:name="the-two-brain-split"/>
    <w:p>
      <w:pPr>
        <w:pStyle w:val="Heading2"/>
      </w:pPr>
      <w:r>
        <w:t xml:space="preserve">The Two-Brain split</w:t>
      </w:r>
    </w:p>
    <w:p>
      <w:pPr>
        <w:pStyle w:val="FirstParagraph"/>
      </w:pPr>
      <w:r>
        <w:t xml:space="preserve">A critical architectural principle:</w:t>
      </w:r>
      <w:r>
        <w:t xml:space="preserve"> </w:t>
      </w:r>
      <w:r>
        <w:rPr>
          <w:b/>
          <w:bCs/>
        </w:rPr>
        <w:t xml:space="preserve">governance and execution never</w:t>
      </w:r>
      <w:r>
        <w:rPr>
          <w:b/>
          <w:bCs/>
        </w:rPr>
        <w:t xml:space="preserve"> </w:t>
      </w:r>
      <w:r>
        <w:rPr>
          <w:b/>
          <w:bCs/>
        </w:rPr>
        <w:t xml:space="preserve">co-mingle on the platform server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Copilot (governance brain)</w:t>
      </w:r>
      <w:r>
        <w:t xml:space="preserve"> </w:t>
      </w:r>
      <w:r>
        <w:t xml:space="preserve">— the review + authorization layer.</w:t>
      </w:r>
      <w:r>
        <w:t xml:space="preserve"> </w:t>
      </w:r>
      <w:r>
        <w:t xml:space="preserve">Canon validates plans, signs commits, enforces boundary rules,</w:t>
      </w:r>
      <w:r>
        <w:t xml:space="preserve"> </w:t>
      </w:r>
      <w:r>
        <w:t xml:space="preserve">writes audit entries.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touch the target surface</w:t>
      </w:r>
      <w:r>
        <w:t xml:space="preserve"> </w:t>
      </w:r>
      <w:r>
        <w:t xml:space="preserve">directly.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Execution Substrate (execution brain)</w:t>
      </w:r>
      <w:r>
        <w:t xml:space="preserve"> </w:t>
      </w:r>
      <w:r>
        <w:t xml:space="preserve">— the delivery layer. It</w:t>
      </w:r>
      <w:r>
        <w:t xml:space="preserve"> </w:t>
      </w:r>
      <w:r>
        <w:t xml:space="preserve">takes an authorized plan, calls the adapter APIs, and writes back a</w:t>
      </w:r>
      <w:r>
        <w:t xml:space="preserve"> </w:t>
      </w:r>
      <w:r>
        <w:t xml:space="preserve">structured result.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decide what to do; it executes</w:t>
      </w:r>
      <w:r>
        <w:t xml:space="preserve"> </w:t>
      </w:r>
      <w:r>
        <w:t xml:space="preserve">what the governance brain has already decided.</w:t>
      </w:r>
    </w:p>
    <w:p>
      <w:pPr>
        <w:pStyle w:val="FirstParagraph"/>
      </w:pPr>
      <w:r>
        <w:t xml:space="preserve">This split is documented canonically as</w:t>
      </w:r>
      <w:r>
        <w:t xml:space="preserve"> </w:t>
      </w:r>
      <w:r>
        <w:rPr>
          <w:b/>
          <w:bCs/>
        </w:rPr>
        <w:t xml:space="preserve">the program decision — Two-Brain</w:t>
      </w:r>
      <w:r>
        <w:rPr>
          <w:b/>
          <w:bCs/>
        </w:rPr>
        <w:t xml:space="preserve"> </w:t>
      </w:r>
      <w:r>
        <w:rPr>
          <w:b/>
          <w:bCs/>
        </w:rPr>
        <w:t xml:space="preserve">Execution</w:t>
      </w:r>
      <w:r>
        <w:t xml:space="preserve"> </w:t>
      </w:r>
      <w:r>
        <w:t xml:space="preserve">(to be authored). On the platform server, it manifests as</w:t>
      </w:r>
      <w:r>
        <w:t xml:space="preserve"> </w:t>
      </w:r>
      <w:r>
        <w:t xml:space="preserve">two separate service accounts, two separate credential stores, two</w:t>
      </w:r>
      <w:r>
        <w:t xml:space="preserve"> </w:t>
      </w:r>
      <w:r>
        <w:t xml:space="preserve">separate log streams. Deleting either brain’s access stops the system</w:t>
      </w:r>
      <w:r>
        <w:t xml:space="preserve"> </w:t>
      </w:r>
      <w:r>
        <w:t xml:space="preserve">in a safe state; it doesn’t leave the other brain able to make</w:t>
      </w:r>
      <w:r>
        <w:t xml:space="preserve"> </w:t>
      </w:r>
      <w:r>
        <w:t xml:space="preserve">decisions it shouldn’t.</w:t>
      </w:r>
    </w:p>
    <w:p>
      <w:pPr>
        <w:pStyle w:val="BodyText"/>
      </w:pPr>
      <w:r>
        <w:t xml:space="preserve">The reason: a brain that both decides and acts is a brain that can</w:t>
      </w:r>
      <w:r>
        <w:t xml:space="preserve"> </w:t>
      </w:r>
      <w:r>
        <w:t xml:space="preserve">cover its tracks. Separating them is how we make every change</w:t>
      </w:r>
      <w:r>
        <w:t xml:space="preserve"> </w:t>
      </w:r>
      <w:r>
        <w:t xml:space="preserve">auditable, reversible, and governed.</w:t>
      </w:r>
    </w:p>
    <w:bookmarkEnd w:id="19"/>
    <w:bookmarkStart w:id="20" w:name="integration-surface-map"/>
    <w:p>
      <w:pPr>
        <w:pStyle w:val="Heading2"/>
      </w:pPr>
      <w:r>
        <w:t xml:space="preserve">Integration surface map</w:t>
      </w:r>
    </w:p>
    <w:p>
      <w:pPr>
        <w:pStyle w:val="FirstParagraph"/>
      </w:pPr>
      <w:r>
        <w:t xml:space="preserve">The platform server has clearly-bounded integration points. Each is</w:t>
      </w:r>
      <w:r>
        <w:t xml:space="preserve"> </w:t>
      </w:r>
      <w:r>
        <w:t xml:space="preserve">governed by an adapter spec and a validation suite.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Integration</w:t>
            </w:r>
          </w:p>
        </w:tc>
        <w:tc>
          <w:tcPr/>
          <w:p>
            <w:pPr>
              <w:pStyle w:val="Compact"/>
            </w:pPr>
            <w:r>
              <w:t xml:space="preserve">Direction</w:t>
            </w:r>
          </w:p>
        </w:tc>
        <w:tc>
          <w:tcPr/>
          <w:p>
            <w:pPr>
              <w:pStyle w:val="Compact"/>
            </w:pPr>
            <w:r>
              <w:t xml:space="preserve">Adapter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 Forest (legacy)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FMP_159 + FMPADAssessment</w:t>
            </w:r>
          </w:p>
        </w:tc>
        <w:tc>
          <w:tcPr/>
          <w:p>
            <w:pPr>
              <w:pStyle w:val="Compact"/>
            </w:pPr>
            <w:r>
              <w:t xml:space="preserve">Forest/domain/OU discovery, GPO inventory, DNS/DHCP read, Kerberos SPN audit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ADCS (legacy PKI)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DM_020</w:t>
            </w:r>
          </w:p>
        </w:tc>
        <w:tc>
          <w:tcPr/>
          <w:p>
            <w:pPr>
              <w:pStyle w:val="Compact"/>
            </w:pPr>
            <w:r>
              <w:t xml:space="preserve">Template analysis, ESC1-8 vulnerability check, certificate inventory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Entra ID</w:t>
            </w:r>
          </w:p>
        </w:tc>
        <w:tc>
          <w:tcPr/>
          <w:p>
            <w:pPr>
              <w:pStyle w:val="Compact"/>
            </w:pPr>
            <w:r>
              <w:t xml:space="preserve">Read-write</w:t>
            </w:r>
          </w:p>
        </w:tc>
        <w:tc>
          <w:tcPr/>
          <w:p>
            <w:pPr>
              <w:pStyle w:val="Compact"/>
            </w:pPr>
            <w:r>
              <w:t xml:space="preserve">adapter-specs/entra-id</w:t>
            </w:r>
          </w:p>
        </w:tc>
        <w:tc>
          <w:tcPr/>
          <w:p>
            <w:pPr>
              <w:pStyle w:val="Compact"/>
            </w:pPr>
            <w:r>
              <w:t xml:space="preserve">User/group/device/AU/policy provisioning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Intune</w:t>
            </w:r>
          </w:p>
        </w:tc>
        <w:tc>
          <w:tcPr/>
          <w:p>
            <w:pPr>
              <w:pStyle w:val="Compact"/>
            </w:pPr>
            <w:r>
              <w:t xml:space="preserve">Read-write</w:t>
            </w:r>
          </w:p>
        </w:tc>
        <w:tc>
          <w:tcPr/>
          <w:p>
            <w:pPr>
              <w:pStyle w:val="Compact"/>
            </w:pPr>
            <w:r>
              <w:t xml:space="preserve">adapter-specs/intune</w:t>
            </w:r>
          </w:p>
        </w:tc>
        <w:tc>
          <w:tcPr/>
          <w:p>
            <w:pPr>
              <w:pStyle w:val="Compact"/>
            </w:pPr>
            <w:r>
              <w:t xml:space="preserve">Compliance policies, configuration profiles, Autopilot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Azure Arc</w:t>
            </w:r>
          </w:p>
        </w:tc>
        <w:tc>
          <w:tcPr/>
          <w:p>
            <w:pPr>
              <w:pStyle w:val="Compact"/>
            </w:pPr>
            <w:r>
              <w:t xml:space="preserve">Read-write</w:t>
            </w:r>
          </w:p>
        </w:tc>
        <w:tc>
          <w:tcPr/>
          <w:p>
            <w:pPr>
              <w:pStyle w:val="Compact"/>
            </w:pPr>
            <w:r>
              <w:t xml:space="preserve">(DM_060 scope)</w:t>
            </w:r>
          </w:p>
        </w:tc>
        <w:tc>
          <w:tcPr/>
          <w:p>
            <w:pPr>
              <w:pStyle w:val="Compact"/>
            </w:pPr>
            <w:r>
              <w:t xml:space="preserve">Hybrid server enrollment, tag management, policy assignment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Infoblox / BlueCat</w:t>
            </w:r>
          </w:p>
        </w:tc>
        <w:tc>
          <w:tcPr/>
          <w:p>
            <w:pPr>
              <w:pStyle w:val="Compact"/>
            </w:pPr>
            <w:r>
              <w:t xml:space="preserve">Read-write</w:t>
            </w:r>
          </w:p>
        </w:tc>
        <w:tc>
          <w:tcPr/>
          <w:p>
            <w:pPr>
              <w:pStyle w:val="Compact"/>
            </w:pPr>
            <w:r>
              <w:t xml:space="preserve">DM_010</w:t>
            </w:r>
          </w:p>
        </w:tc>
        <w:tc>
          <w:tcPr/>
          <w:p>
            <w:pPr>
              <w:pStyle w:val="Compact"/>
            </w:pPr>
            <w:r>
              <w:t xml:space="preserve">IPAM records, DHCP scope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Cisco ISE / NPS</w:t>
            </w:r>
          </w:p>
        </w:tc>
        <w:tc>
          <w:tcPr/>
          <w:p>
            <w:pPr>
              <w:pStyle w:val="Compact"/>
            </w:pPr>
            <w:r>
              <w:t xml:space="preserve">Read-write</w:t>
            </w:r>
          </w:p>
        </w:tc>
        <w:tc>
          <w:tcPr/>
          <w:p>
            <w:pPr>
              <w:pStyle w:val="Compact"/>
            </w:pPr>
            <w:r>
              <w:t xml:space="preserve">DM_030</w:t>
            </w:r>
          </w:p>
        </w:tc>
        <w:tc>
          <w:tcPr/>
          <w:p>
            <w:pPr>
              <w:pStyle w:val="Compact"/>
            </w:pPr>
            <w:r>
              <w:t xml:space="preserve">RADIUS policy, 802.1X, device-posture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ServiceNow</w:t>
            </w:r>
          </w:p>
        </w:tc>
        <w:tc>
          <w:tcPr/>
          <w:p>
            <w:pPr>
              <w:pStyle w:val="Compact"/>
            </w:pPr>
            <w:r>
              <w:t xml:space="preserve">Read-write</w:t>
            </w:r>
          </w:p>
        </w:tc>
        <w:tc>
          <w:tcPr/>
          <w:p>
            <w:pPr>
              <w:pStyle w:val="Compact"/>
            </w:pPr>
            <w:r>
              <w:t xml:space="preserve">adapter-specs/service-now</w:t>
            </w:r>
          </w:p>
        </w:tc>
        <w:tc>
          <w:tcPr/>
          <w:p>
            <w:pPr>
              <w:pStyle w:val="Compact"/>
            </w:pPr>
            <w:r>
              <w:t xml:space="preserve">Change/incident integration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CyberArk</w:t>
            </w:r>
          </w:p>
        </w:tc>
        <w:tc>
          <w:tcPr/>
          <w:p>
            <w:pPr>
              <w:pStyle w:val="Compact"/>
            </w:pPr>
            <w:r>
              <w:t xml:space="preserve">Read-write</w:t>
            </w:r>
          </w:p>
        </w:tc>
        <w:tc>
          <w:tcPr/>
          <w:p>
            <w:pPr>
              <w:pStyle w:val="Compact"/>
            </w:pPr>
            <w:r>
              <w:t xml:space="preserve">adapter-specs/cyberark</w:t>
            </w:r>
          </w:p>
        </w:tc>
        <w:tc>
          <w:tcPr/>
          <w:p>
            <w:pPr>
              <w:pStyle w:val="Compact"/>
            </w:pPr>
            <w:r>
              <w:t xml:space="preserve">PAM vault / safe integration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GitHub</w:t>
            </w:r>
          </w:p>
        </w:tc>
        <w:tc>
          <w:tcPr/>
          <w:p>
            <w:pPr>
              <w:pStyle w:val="Compact"/>
            </w:pPr>
            <w:r>
              <w:t xml:space="preserve">Read-write</w:t>
            </w:r>
          </w:p>
        </w:tc>
        <w:tc>
          <w:tcPr/>
          <w:p>
            <w:pPr>
              <w:pStyle w:val="Compact"/>
            </w:pPr>
            <w:r>
              <w:t xml:space="preserve">(upstream canon)</w:t>
            </w:r>
          </w:p>
        </w:tc>
        <w:tc>
          <w:tcPr/>
          <w:p>
            <w:pPr>
              <w:pStyle w:val="Compact"/>
            </w:pPr>
            <w:r>
              <w:t xml:space="preserve">Canon merge source (GitHub → Gitea mirror)</w:t>
            </w:r>
          </w:p>
        </w:tc>
      </w:tr>
    </w:tbl>
    <w:p>
      <w:pPr>
        <w:pStyle w:val="BodyText"/>
      </w:pPr>
      <w:r>
        <w:t xml:space="preserve">Every integration is bidirectional-or-less; nothing is</w:t>
      </w:r>
      <w:r>
        <w:t xml:space="preserve"> </w:t>
      </w:r>
      <w:r>
        <w:t xml:space="preserve">“trust me.”</w:t>
      </w:r>
      <w:r>
        <w:t xml:space="preserve"> </w:t>
      </w:r>
      <w:r>
        <w:t xml:space="preserve">The</w:t>
      </w:r>
      <w:r>
        <w:t xml:space="preserve"> </w:t>
      </w:r>
      <w:r>
        <w:t xml:space="preserve">drift engine re-validates every integration on a schedule.</w:t>
      </w:r>
    </w:p>
    <w:bookmarkEnd w:id="20"/>
    <w:bookmarkStart w:id="21" w:name="operational-properties"/>
    <w:p>
      <w:pPr>
        <w:pStyle w:val="Heading2"/>
      </w:pPr>
      <w:r>
        <w:t xml:space="preserve">Operational properties</w:t>
      </w:r>
    </w:p>
    <w:p>
      <w:pPr>
        <w:pStyle w:val="FirstParagraph"/>
      </w:pPr>
      <w:r>
        <w:t xml:space="preserve">By the end of Chapter 06 (the Platform Server Build Guide), the host</w:t>
      </w:r>
      <w:r>
        <w:t xml:space="preserve"> </w:t>
      </w:r>
      <w:r>
        <w:t xml:space="preserve">has the following operational properties: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Tier-0 classification</w:t>
      </w:r>
      <w:r>
        <w:t xml:space="preserve"> </w:t>
      </w:r>
      <w:r>
        <w:t xml:space="preserve">— CIS Level 2 baseline, AppLocker</w:t>
      </w:r>
      <w:r>
        <w:t xml:space="preserve"> </w:t>
      </w:r>
      <w:r>
        <w:t xml:space="preserve">whitelisting, WDAC code integrity, Defender for Servers Plan 2,</w:t>
      </w:r>
      <w:r>
        <w:t xml:space="preserve"> </w:t>
      </w:r>
      <w:r>
        <w:t xml:space="preserve">SIEM forwarding.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Provenance-bound</w:t>
      </w:r>
      <w:r>
        <w:t xml:space="preserve"> </w:t>
      </w:r>
      <w:r>
        <w:t xml:space="preserve">— every config file change is a Git commit; no</w:t>
      </w:r>
      <w:r>
        <w:t xml:space="preserve"> </w:t>
      </w:r>
      <w:r>
        <w:t xml:space="preserve">admin-portal clicks permitted; Intune baseline policy enforces this.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Attribute-governed</w:t>
      </w:r>
      <w:r>
        <w:t xml:space="preserve"> </w:t>
      </w:r>
      <w:r>
        <w:t xml:space="preserve">— server carries its organizational attributes</w:t>
      </w:r>
      <w:r>
        <w:t xml:space="preserve"> </w:t>
      </w:r>
      <w:r>
        <w:t xml:space="preserve">(NCR / IT / InfraOps), lives in an Administrative Unit</w:t>
      </w:r>
      <w:r>
        <w:t xml:space="preserve"> </w:t>
      </w:r>
      <w:r>
        <w:t xml:space="preserve">(</w:t>
      </w:r>
      <w:r>
        <w:rPr>
          <w:rStyle w:val="VerbatimChar"/>
        </w:rPr>
        <w:t xml:space="preserve">AU-NCR-IT-InF-PLATFORM</w:t>
      </w:r>
      <w:r>
        <w:t xml:space="preserve">), and is targeted by an attribute-scoped</w:t>
      </w:r>
      <w:r>
        <w:t xml:space="preserve"> </w:t>
      </w:r>
      <w:r>
        <w:t xml:space="preserve">Intune compliance policy.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Drift-monitored</w:t>
      </w:r>
      <w:r>
        <w:t xml:space="preserve"> </w:t>
      </w:r>
      <w:r>
        <w:t xml:space="preserve">— FMP_163 reports the server’s state on a schedule</w:t>
      </w:r>
      <w:r>
        <w:t xml:space="preserve"> </w:t>
      </w:r>
      <w:r>
        <w:t xml:space="preserve">(organizational attributes, AU membership, Gitea team mapping, Arc heartbeat). Any</w:t>
      </w:r>
      <w:r>
        <w:t xml:space="preserve"> </w:t>
      </w:r>
      <w:r>
        <w:t xml:space="preserve">drift opens an SLA ticket per FMP_167.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DR-ready / HA-capable</w:t>
      </w:r>
      <w:r>
        <w:t xml:space="preserve"> </w:t>
      </w:r>
      <w:r>
        <w:t xml:space="preserve">— nightly backup to Azure Blob plus a standby</w:t>
      </w:r>
      <w:r>
        <w:t xml:space="preserve"> </w:t>
      </w:r>
      <w:r>
        <w:t xml:space="preserve">replica with documented RPO/RTO targets; the baseline is manual</w:t>
      </w:r>
      <w:r>
        <w:t xml:space="preserve"> </w:t>
      </w:r>
      <w:r>
        <w:t xml:space="preserve">failover to a cold standby, upgradable to automatic, witness-gated</w:t>
      </w:r>
      <w:r>
        <w:t xml:space="preserve"> </w:t>
      </w:r>
      <w:r>
        <w:t xml:space="preserve">failover to a hot standby per the program decision.</w:t>
      </w:r>
    </w:p>
    <w:bookmarkEnd w:id="21"/>
    <w:bookmarkStart w:id="22" w:name="what-the-platform-server-is-not"/>
    <w:p>
      <w:pPr>
        <w:pStyle w:val="Heading2"/>
      </w:pPr>
      <w:r>
        <w:t xml:space="preserve">What the platform server is not</w:t>
      </w:r>
    </w:p>
    <w:p>
      <w:pPr>
        <w:pStyle w:val="FirstParagraph"/>
      </w:pPr>
      <w:r>
        <w:t xml:space="preserve">Boundaries matter as much as capabilities: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Not a domain controller.</w:t>
      </w:r>
      <w:r>
        <w:t xml:space="preserve"> </w:t>
      </w:r>
      <w:r>
        <w:t xml:space="preserve">The platform server is domain-</w:t>
      </w:r>
      <w:r>
        <w:rPr>
          <w:i/>
          <w:iCs/>
        </w:rPr>
        <w:t xml:space="preserve">joined</w:t>
      </w:r>
      <w:r>
        <w:t xml:space="preserve">,</w:t>
      </w:r>
      <w:r>
        <w:t xml:space="preserve"> </w:t>
      </w:r>
      <w:r>
        <w:t xml:space="preserve">not domain-hosting. When the legacy AD forest is eventually retired,</w:t>
      </w:r>
      <w:r>
        <w:t xml:space="preserve"> </w:t>
      </w:r>
      <w:r>
        <w:t xml:space="preserve">the platform server stays; the DCs go away.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Not a target-surface component.</w:t>
      </w:r>
      <w:r>
        <w:t xml:space="preserve"> </w:t>
      </w:r>
      <w:r>
        <w:t xml:space="preserve">The platform server governs Entra,</w:t>
      </w:r>
      <w:r>
        <w:t xml:space="preserve"> </w:t>
      </w:r>
      <w:r>
        <w:t xml:space="preserve">Intune, Arc — it does not live inside them. It is deliberately on-prem</w:t>
      </w:r>
      <w:r>
        <w:t xml:space="preserve"> </w:t>
      </w:r>
      <w:r>
        <w:t xml:space="preserve">(or Arc-projected IaaS) so it survives tenant-level events.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Not a product</w:t>
      </w:r>
      <w:r>
        <w:t xml:space="preserve">. The platform server is a governed deployment of</w:t>
      </w:r>
      <w:r>
        <w:t xml:space="preserve"> </w:t>
      </w:r>
      <w:r>
        <w:t xml:space="preserve">well-known components (WS2025, IIS, Gitea) configured together in a</w:t>
      </w:r>
      <w:r>
        <w:t xml:space="preserve"> </w:t>
      </w:r>
      <w:r>
        <w:t xml:space="preserve">specific, canonical way. There’s no proprietary the Federal Modernization Program binary to ship.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Not a Copilot replacement.</w:t>
      </w:r>
      <w:r>
        <w:t xml:space="preserve"> </w:t>
      </w:r>
      <w:r>
        <w:t xml:space="preserve">Copilot is the governance brain. The</w:t>
      </w:r>
      <w:r>
        <w:t xml:space="preserve"> </w:t>
      </w:r>
      <w:r>
        <w:t xml:space="preserve">platform server hosts the execution substrate + canon. Copilot still</w:t>
      </w:r>
      <w:r>
        <w:t xml:space="preserve"> </w:t>
      </w:r>
      <w:r>
        <w:t xml:space="preserve">reviews and authorizes.</w:t>
      </w:r>
    </w:p>
    <w:bookmarkEnd w:id="22"/>
    <w:bookmarkStart w:id="23" w:name="new"/>
    <w:p>
      <w:pPr>
        <w:pStyle w:val="Heading2"/>
      </w:pPr>
      <w:r>
        <w:t xml:space="preserve">New</w:t>
      </w:r>
    </w:p>
    <w:p>
      <w:pPr>
        <w:pStyle w:val="FirstParagraph"/>
      </w:pPr>
      <w:r>
        <w:t xml:space="preserve">Pointers to the latest additions on both sides of the project:</w:t>
      </w:r>
    </w:p>
    <w:p>
      <w:pPr>
        <w:pStyle w:val="BodyText"/>
      </w:pPr>
      <w:r>
        <w:rPr>
          <w:b/>
          <w:bCs/>
        </w:rPr>
        <w:t xml:space="preserve">New on GitHub</w:t>
      </w:r>
      <w:r>
        <w:t xml:space="preserve"> </w:t>
      </w:r>
      <w:r>
        <w:t xml:space="preserve">(whalermike/fmp)</w:t>
      </w:r>
    </w:p>
    <w:p>
      <w:pPr>
        <w:pStyle w:val="Compact"/>
        <w:numPr>
          <w:ilvl w:val="0"/>
          <w:numId w:val="1007"/>
        </w:numPr>
      </w:pPr>
      <w:r>
        <w:t xml:space="preserve">CHANGELOG.md — every release, every breaking change, every notable canon update.</w:t>
      </w:r>
    </w:p>
    <w:p>
      <w:pPr>
        <w:pStyle w:val="Compact"/>
        <w:numPr>
          <w:ilvl w:val="0"/>
          <w:numId w:val="1007"/>
        </w:numPr>
      </w:pPr>
      <w:r>
        <w:t xml:space="preserve">RELEASE_NOTES.md — narrative release notes (the</w:t>
      </w:r>
      <w:r>
        <w:t xml:space="preserve"> </w:t>
      </w:r>
      <w:r>
        <w:t xml:space="preserve">“why”</w:t>
      </w:r>
      <w:r>
        <w:t xml:space="preserve"> </w:t>
      </w:r>
      <w:r>
        <w:t xml:space="preserve">behind each version).</w:t>
      </w:r>
    </w:p>
    <w:p>
      <w:pPr>
        <w:pStyle w:val="Compact"/>
        <w:numPr>
          <w:ilvl w:val="0"/>
          <w:numId w:val="1007"/>
        </w:numPr>
      </w:pPr>
      <w:r>
        <w:t xml:space="preserve">Releases page — tagged versions and downloadable artifacts.</w:t>
      </w:r>
    </w:p>
    <w:p>
      <w:pPr>
        <w:pStyle w:val="Compact"/>
        <w:numPr>
          <w:ilvl w:val="0"/>
          <w:numId w:val="1007"/>
        </w:numPr>
      </w:pPr>
      <w:r>
        <w:t xml:space="preserve">Recent commits — day-to-day activity on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Pull requests — in-flight work and recently merged changes.</w:t>
      </w:r>
    </w:p>
    <w:p>
      <w:pPr>
        <w:pStyle w:val="FirstParagraph"/>
      </w:pPr>
      <w:r>
        <w:rPr>
          <w:b/>
          <w:bCs/>
        </w:rPr>
        <w:t xml:space="preserve">New on this site</w:t>
      </w:r>
      <w:r>
        <w:t xml:space="preserve"> </w:t>
      </w:r>
      <w:r>
        <w:t xml:space="preserve">(whalermike.github.io/fmp)</w:t>
      </w:r>
    </w:p>
    <w:p>
      <w:pPr>
        <w:pStyle w:val="Compact"/>
        <w:numPr>
          <w:ilvl w:val="0"/>
          <w:numId w:val="1008"/>
        </w:numPr>
      </w:pPr>
      <w:r>
        <w:t xml:space="preserve">Site index — top-level landing page; the</w:t>
      </w:r>
      <w:r>
        <w:t xml:space="preserve"> </w:t>
      </w:r>
      <w:r>
        <w:t xml:space="preserve">“what’s new”</w:t>
      </w:r>
      <w:r>
        <w:t xml:space="preserve"> </w:t>
      </w:r>
      <w:r>
        <w:t xml:space="preserve">callouts surface here first.</w:t>
      </w:r>
    </w:p>
    <w:p>
      <w:pPr>
        <w:pStyle w:val="Compact"/>
        <w:numPr>
          <w:ilvl w:val="0"/>
          <w:numId w:val="1008"/>
        </w:numPr>
      </w:pPr>
      <w:r>
        <w:t xml:space="preserve">Modernization canon — FMP_151–FMP_176 governance specs; new IDs land here.</w:t>
      </w:r>
    </w:p>
    <w:p>
      <w:pPr>
        <w:pStyle w:val="Compact"/>
        <w:numPr>
          <w:ilvl w:val="0"/>
          <w:numId w:val="1008"/>
        </w:numPr>
      </w:pPr>
      <w:r>
        <w:t xml:space="preserve">Customer document series — chapter additions to this series and its siblings.</w:t>
      </w:r>
    </w:p>
    <w:p>
      <w:pPr>
        <w:pStyle w:val="Compact"/>
        <w:numPr>
          <w:ilvl w:val="0"/>
          <w:numId w:val="1008"/>
        </w:numPr>
      </w:pPr>
      <w:r>
        <w:t xml:space="preserve">Operational dashboard — current readiness, drift, and coverage signals.</w:t>
      </w:r>
    </w:p>
    <w:bookmarkEnd w:id="23"/>
    <w:bookmarkStart w:id="26" w:name="cross-references"/>
    <w:p>
      <w:pPr>
        <w:pStyle w:val="Heading2"/>
      </w:pPr>
      <w:r>
        <w:t xml:space="preserve">Cross-references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Full build runbook:</w:t>
      </w:r>
      <w:r>
        <w:t xml:space="preserve"> </w:t>
      </w:r>
      <w:r>
        <w:t xml:space="preserve">Platform Server Build Guide —</w:t>
      </w:r>
      <w:r>
        <w:t xml:space="preserve"> </w:t>
      </w:r>
      <w:r>
        <w:t xml:space="preserve">14 phases, 1,864 lines of PowerShell-first procedure.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the program decision Git Infrastructure</w:t>
      </w:r>
      <w:r>
        <w:t xml:space="preserve"> </w:t>
      </w:r>
      <w:r>
        <w:t xml:space="preserve">— documents the Gitea-behind-IIS</w:t>
      </w:r>
      <w:r>
        <w:t xml:space="preserve"> </w:t>
      </w:r>
      <w:r>
        <w:t xml:space="preserve">decision (Option B) and why Option A (IIS +</w:t>
      </w:r>
      <w:r>
        <w:t xml:space="preserve"> </w:t>
      </w:r>
      <w:r>
        <w:rPr>
          <w:rStyle w:val="VerbatimChar"/>
        </w:rPr>
        <w:t xml:space="preserve">git-http-backend</w:t>
      </w:r>
      <w:r>
        <w:t xml:space="preserve"> </w:t>
      </w:r>
      <w:r>
        <w:t xml:space="preserve">alone)</w:t>
      </w:r>
      <w:r>
        <w:t xml:space="preserve"> </w:t>
      </w:r>
      <w:r>
        <w:t xml:space="preserve">was rejected.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the program decision Substrate High Availability</w:t>
      </w:r>
      <w:r>
        <w:t xml:space="preserve"> </w:t>
      </w:r>
      <w:r>
        <w:t xml:space="preserve">— the hot-standby replica with</w:t>
      </w:r>
      <w:r>
        <w:t xml:space="preserve"> </w:t>
      </w:r>
      <w:r>
        <w:t xml:space="preserve">automatic, split-brain-safe failover that extends the program decision for</w:t>
      </w:r>
      <w:r>
        <w:t xml:space="preserve"> </w:t>
      </w:r>
      <w:r>
        <w:t xml:space="preserve">customers requiring sub-4-hour RTO.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Modernization canon</w:t>
      </w:r>
      <w:r>
        <w:t xml:space="preserve"> </w:t>
      </w:r>
      <w:r>
        <w:t xml:space="preserve">— FMP_151–FMP_176</w:t>
      </w:r>
      <w:r>
        <w:t xml:space="preserve"> </w:t>
      </w:r>
      <w:r>
        <w:t xml:space="preserve">for governance,</w:t>
      </w:r>
      <w:r>
        <w:t xml:space="preserve"> </w:t>
      </w:r>
      <w:hyperlink r:id="rId24">
        <w:r>
          <w:rPr>
            <w:rStyle w:val="Hyperlink"/>
          </w:rPr>
          <w:t xml:space="preserve">DM_010..080</w:t>
        </w:r>
      </w:hyperlink>
      <w:r>
        <w:t xml:space="preserve"> </w:t>
      </w:r>
      <w:r>
        <w:t xml:space="preserve">for adapters.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Next:</w:t>
      </w:r>
      <w:r>
        <w:t xml:space="preserve"> </w:t>
      </w:r>
      <w:hyperlink r:id="rId25">
        <w:r>
          <w:rPr>
            <w:rStyle w:val="Hyperlink"/>
          </w:rPr>
          <w:t xml:space="preserve">Chapter 02 — Analyzing the Client/Server Estate</w:t>
        </w:r>
      </w:hyperlink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4" Target="../../reference-architecture/directory-migration.md" TargetMode="External" /><Relationship Type="http://schemas.openxmlformats.org/officeDocument/2006/relationships/hyperlink" Id="rId25" Target="02-legacy-ingestio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../../reference-architecture/directory-migration.md" TargetMode="External" /><Relationship Type="http://schemas.openxmlformats.org/officeDocument/2006/relationships/hyperlink" Id="rId25" Target="02-legacy-ingestio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01 — The Federal Modernization Program Platform Server</dc:title>
  <dc:creator/>
  <cp:keywords/>
  <dcterms:created xsi:type="dcterms:W3CDTF">2026-10-19T10:11:00Z</dcterms:created>
  <dcterms:modified xsi:type="dcterms:W3CDTF">2026-10-19T10:11:00Z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Platform engineers · infrastructure architects · federal CIOs</vt:lpwstr>
  </property>
  <property fmtid="{D5CDD505-2E9C-101B-9397-08002B2CF9AE}" pid="4" name="biblio-config">
    <vt:lpwstr>True</vt:lpwstr>
  </property>
  <property fmtid="{D5CDD505-2E9C-101B-9397-08002B2CF9AE}" pid="5" name="canon-source">
    <vt:lpwstr>docs/customer-documents/platform/platform-server-build.qmd + the program decision</vt:lpwstr>
  </property>
  <property fmtid="{D5CDD505-2E9C-101B-9397-08002B2CF9AE}" pid="6" name="chapter">
    <vt:lpwstr>1</vt:lpwstr>
  </property>
  <property fmtid="{D5CDD505-2E9C-101B-9397-08002B2CF9AE}" pid="7" name="date">
    <vt:lpwstr>2026-04-24</vt:lpwstr>
  </property>
  <property fmtid="{D5CDD505-2E9C-101B-9397-08002B2CF9AE}" pid="8" name="doc-type">
    <vt:lpwstr>series-chapter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2026-11-22</vt:lpwstr>
  </property>
  <property fmtid="{D5CDD505-2E9C-101B-9397-08002B2CF9AE}" pid="15" name="series-id">
    <vt:lpwstr>client-server-to-hybrid-cloud</vt:lpwstr>
  </property>
  <property fmtid="{D5CDD505-2E9C-101B-9397-08002B2CF9AE}" pid="16" name="subtitle">
    <vt:lpwstr>Windows Server 2025 + IIS + Gitea + Kerberos + enterprise PKI — the host that runs the transformation</vt:lpwstr>
  </property>
  <property fmtid="{D5CDD505-2E9C-101B-9397-08002B2CF9AE}" pid="17" name="tiers_adopted">
    <vt:lpwstr/>
  </property>
  <property fmtid="{D5CDD505-2E9C-101B-9397-08002B2CF9AE}" pid="18" name="toc-title">
    <vt:lpwstr>Table of contents</vt:lpwstr>
  </property>
</Properties>
</file>