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5" w:name="conditional-access-policy-library"/>
    <w:p>
      <w:pPr>
        <w:pStyle w:val="Heading1"/>
      </w:pPr>
      <w:r>
        <w:t xml:space="preserve">Conditional Access Policy Library</w:t>
      </w:r>
    </w:p>
    <w:p>
      <w:pPr>
        <w:pStyle w:val="FirstParagraph"/>
      </w:pPr>
      <w:r>
        <w:t xml:space="preserve">A tiered reference for transitioning from Group Policy-based access control to Microsoft Entra ID Conditional Access.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library defines a structured Conditional Access framework for organizations moving from Active Directory Group Policy to cloud-native access control. Policies are organized by function and tier, with clear mapping from legacy constructs and a phased deployment method that includes report-only validation.</w:t>
      </w:r>
    </w:p>
    <w:bookmarkEnd w:id="9"/>
    <w:bookmarkStart w:id="10" w:name="policy-architecture"/>
    <w:p>
      <w:pPr>
        <w:pStyle w:val="Heading2"/>
      </w:pPr>
      <w:r>
        <w:t xml:space="preserve">Policy architecture</w:t>
      </w:r>
    </w:p>
    <w:p>
      <w:pPr>
        <w:pStyle w:val="FirstParagraph"/>
      </w:pPr>
      <w:r>
        <w:t xml:space="preserve">Policies are grouped into tiers: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066"/>
        <w:gridCol w:w="2410"/>
        <w:gridCol w:w="344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Examples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Baseline</w:t>
            </w:r>
          </w:p>
        </w:tc>
        <w:tc>
          <w:tcPr/>
          <w:p>
            <w:pPr>
              <w:pStyle w:val="Compact"/>
            </w:pPr>
            <w:r>
              <w:t xml:space="preserve">Universal requirements</w:t>
            </w:r>
          </w:p>
        </w:tc>
        <w:tc>
          <w:tcPr/>
          <w:p>
            <w:pPr>
              <w:pStyle w:val="Compact"/>
            </w:pPr>
            <w:r>
              <w:t xml:space="preserve">MFA, legacy authentication block, compliant device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</w:t>
            </w:r>
          </w:p>
        </w:tc>
        <w:tc>
          <w:tcPr/>
          <w:p>
            <w:pPr>
              <w:pStyle w:val="Compact"/>
            </w:pPr>
            <w:r>
              <w:t xml:space="preserve">Device posture</w:t>
            </w:r>
          </w:p>
        </w:tc>
        <w:tc>
          <w:tcPr/>
          <w:p>
            <w:pPr>
              <w:pStyle w:val="Compact"/>
            </w:pPr>
            <w:r>
              <w:t xml:space="preserve">Compliance state, join type, platform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Network and location</w:t>
            </w:r>
          </w:p>
        </w:tc>
        <w:tc>
          <w:tcPr/>
          <w:p>
            <w:pPr>
              <w:pStyle w:val="Compact"/>
            </w:pPr>
            <w:r>
              <w:t xml:space="preserve">Named locations, trusted networks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/ Site</w:t>
            </w:r>
          </w:p>
        </w:tc>
        <w:tc>
          <w:tcPr/>
          <w:p>
            <w:pPr>
              <w:pStyle w:val="Compact"/>
            </w:pPr>
            <w:r>
              <w:t xml:space="preserve">Geographic or site constraints</w:t>
            </w:r>
          </w:p>
        </w:tc>
        <w:tc>
          <w:tcPr/>
          <w:p>
            <w:pPr>
              <w:pStyle w:val="Compact"/>
            </w:pPr>
            <w:r>
              <w:t xml:space="preserve">Country, office, branch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</w:t>
            </w:r>
          </w:p>
        </w:tc>
        <w:tc>
          <w:tcPr/>
          <w:p>
            <w:pPr>
              <w:pStyle w:val="Compact"/>
            </w:pPr>
            <w:r>
              <w:t xml:space="preserve">Per-application controls</w:t>
            </w:r>
          </w:p>
        </w:tc>
        <w:tc>
          <w:tcPr/>
          <w:p>
            <w:pPr>
              <w:pStyle w:val="Compact"/>
            </w:pPr>
            <w:r>
              <w:t xml:space="preserve">High-risk apps, admin portals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Governance</w:t>
            </w:r>
          </w:p>
        </w:tc>
        <w:tc>
          <w:tcPr/>
          <w:p>
            <w:pPr>
              <w:pStyle w:val="Compact"/>
            </w:pPr>
            <w:r>
              <w:t xml:space="preserve">Administrative and break-glass</w:t>
            </w:r>
          </w:p>
        </w:tc>
        <w:tc>
          <w:tcPr/>
          <w:p>
            <w:pPr>
              <w:pStyle w:val="Compact"/>
            </w:pPr>
            <w:r>
              <w:t xml:space="preserve">Privileged access, emergency accounts</w:t>
            </w:r>
          </w:p>
        </w:tc>
      </w:tr>
    </w:tbl>
    <w:p>
      <w:pPr>
        <w:pStyle w:val="BodyText"/>
      </w:pPr>
      <w:r>
        <w:t xml:space="preserve">Each policy should specify target population, conditions, grant or block controls, and verification method.</w:t>
      </w:r>
    </w:p>
    <w:bookmarkEnd w:id="10"/>
    <w:bookmarkStart w:id="11" w:name="deployment-methodology"/>
    <w:p>
      <w:pPr>
        <w:pStyle w:val="Heading2"/>
      </w:pPr>
      <w:r>
        <w:t xml:space="preserve">Deployment methodology</w:t>
      </w:r>
    </w:p>
    <w:p>
      <w:pPr>
        <w:pStyle w:val="Compact"/>
        <w:numPr>
          <w:ilvl w:val="0"/>
          <w:numId w:val="1001"/>
        </w:numPr>
      </w:pPr>
      <w:r>
        <w:t xml:space="preserve">Author the policy in report-only mode.</w:t>
      </w:r>
    </w:p>
    <w:p>
      <w:pPr>
        <w:pStyle w:val="Compact"/>
        <w:numPr>
          <w:ilvl w:val="0"/>
          <w:numId w:val="1001"/>
        </w:numPr>
      </w:pPr>
      <w:r>
        <w:t xml:space="preserve">Validate impact against a representative population.</w:t>
      </w:r>
    </w:p>
    <w:p>
      <w:pPr>
        <w:pStyle w:val="Compact"/>
        <w:numPr>
          <w:ilvl w:val="0"/>
          <w:numId w:val="1001"/>
        </w:numPr>
      </w:pPr>
      <w:r>
        <w:t xml:space="preserve">Resolve exclusions and break-glass accounts.</w:t>
      </w:r>
    </w:p>
    <w:p>
      <w:pPr>
        <w:pStyle w:val="Compact"/>
        <w:numPr>
          <w:ilvl w:val="0"/>
          <w:numId w:val="1001"/>
        </w:numPr>
      </w:pPr>
      <w:r>
        <w:t xml:space="preserve">Move to enforced mode.</w:t>
      </w:r>
    </w:p>
    <w:p>
      <w:pPr>
        <w:pStyle w:val="Compact"/>
        <w:numPr>
          <w:ilvl w:val="0"/>
          <w:numId w:val="1001"/>
        </w:numPr>
      </w:pPr>
      <w:r>
        <w:t xml:space="preserve">Monitor sign-in logs and policy hit rates.</w:t>
      </w:r>
    </w:p>
    <w:p>
      <w:pPr>
        <w:pStyle w:val="Compact"/>
        <w:numPr>
          <w:ilvl w:val="0"/>
          <w:numId w:val="1001"/>
        </w:numPr>
      </w:pPr>
      <w:r>
        <w:t xml:space="preserve">Review and adjust on a defined cadence.</w:t>
      </w:r>
    </w:p>
    <w:bookmarkEnd w:id="11"/>
    <w:bookmarkStart w:id="12" w:name="gpo-to-conditional-access-mapping"/>
    <w:p>
      <w:pPr>
        <w:pStyle w:val="Heading2"/>
      </w:pPr>
      <w:r>
        <w:t xml:space="preserve">GPO-to-Conditional Access mapping</w:t>
      </w:r>
    </w:p>
    <w:p>
      <w:pPr>
        <w:pStyle w:val="FirstParagraph"/>
      </w:pPr>
      <w:r>
        <w:t xml:space="preserve">Legacy GPO constructs map to Conditional Access signals rather than one-to-one settings: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27"/>
        <w:gridCol w:w="41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Legacy concept</w:t>
            </w:r>
          </w:p>
        </w:tc>
        <w:tc>
          <w:tcPr/>
          <w:p>
            <w:pPr>
              <w:pStyle w:val="Compact"/>
            </w:pPr>
            <w:r>
              <w:t xml:space="preserve">Cloud equivalent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Logon restriction by OU</w:t>
            </w:r>
          </w:p>
        </w:tc>
        <w:tc>
          <w:tcPr/>
          <w:p>
            <w:pPr>
              <w:pStyle w:val="Compact"/>
            </w:pPr>
            <w:r>
              <w:t xml:space="preserve">Dynamic group or filter + Conditional Access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Workstation restriction</w:t>
            </w:r>
          </w:p>
        </w:tc>
        <w:tc>
          <w:tcPr/>
          <w:p>
            <w:pPr>
              <w:pStyle w:val="Compact"/>
            </w:pPr>
            <w:r>
              <w:t xml:space="preserve">Compliant device or hybrid join requirement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 location restriction</w:t>
            </w:r>
          </w:p>
        </w:tc>
        <w:tc>
          <w:tcPr/>
          <w:p>
            <w:pPr>
              <w:pStyle w:val="Compact"/>
            </w:pPr>
            <w:r>
              <w:t xml:space="preserve">Named location condition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Time-of-day restriction</w:t>
            </w:r>
          </w:p>
        </w:tc>
        <w:tc>
          <w:tcPr/>
          <w:p>
            <w:pPr>
              <w:pStyle w:val="Compact"/>
            </w:pPr>
            <w:r>
              <w:t xml:space="preserve">Sign-in frequency or custom control (limited)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 lockout / password policy</w:t>
            </w:r>
          </w:p>
        </w:tc>
        <w:tc>
          <w:tcPr/>
          <w:p>
            <w:pPr>
              <w:pStyle w:val="Compact"/>
            </w:pPr>
            <w:r>
              <w:t xml:space="preserve">Authentication strength and risk-based controls</w:t>
            </w:r>
          </w:p>
        </w:tc>
      </w:tr>
    </w:tbl>
    <w:bookmarkEnd w:id="12"/>
    <w:bookmarkStart w:id="13" w:name="break-glass-accounts"/>
    <w:p>
      <w:pPr>
        <w:pStyle w:val="Heading2"/>
      </w:pPr>
      <w:r>
        <w:t xml:space="preserve">Break-glass accounts</w:t>
      </w:r>
    </w:p>
    <w:p>
      <w:pPr>
        <w:pStyle w:val="FirstParagraph"/>
      </w:pPr>
      <w:r>
        <w:t xml:space="preserve">Maintain at least two break-glass accounts excluded from Conditional Access policies that could lock out administrators. Requirements:</w:t>
      </w:r>
    </w:p>
    <w:p>
      <w:pPr>
        <w:pStyle w:val="Compact"/>
        <w:numPr>
          <w:ilvl w:val="0"/>
          <w:numId w:val="1002"/>
        </w:numPr>
      </w:pPr>
      <w:r>
        <w:t xml:space="preserve">Strong, non-shared credentials stored offline</w:t>
      </w:r>
    </w:p>
    <w:p>
      <w:pPr>
        <w:pStyle w:val="Compact"/>
        <w:numPr>
          <w:ilvl w:val="0"/>
          <w:numId w:val="1002"/>
        </w:numPr>
      </w:pPr>
      <w:r>
        <w:t xml:space="preserve">Monitoring and alerting on any use</w:t>
      </w:r>
    </w:p>
    <w:p>
      <w:pPr>
        <w:pStyle w:val="Compact"/>
        <w:numPr>
          <w:ilvl w:val="0"/>
          <w:numId w:val="1002"/>
        </w:numPr>
      </w:pPr>
      <w:r>
        <w:t xml:space="preserve">Regular access review</w:t>
      </w:r>
    </w:p>
    <w:p>
      <w:pPr>
        <w:pStyle w:val="Compact"/>
        <w:numPr>
          <w:ilvl w:val="0"/>
          <w:numId w:val="1002"/>
        </w:numPr>
      </w:pPr>
      <w:r>
        <w:t xml:space="preserve">Exclusion documented and approved</w:t>
      </w:r>
    </w:p>
    <w:bookmarkEnd w:id="13"/>
    <w:bookmarkStart w:id="14" w:name="monitoring"/>
    <w:p>
      <w:pPr>
        <w:pStyle w:val="Heading2"/>
      </w:pPr>
      <w:r>
        <w:t xml:space="preserve">Monitoring</w:t>
      </w:r>
    </w:p>
    <w:p>
      <w:pPr>
        <w:pStyle w:val="FirstParagraph"/>
      </w:pPr>
      <w:r>
        <w:t xml:space="preserve">Track:</w:t>
      </w:r>
    </w:p>
    <w:p>
      <w:pPr>
        <w:pStyle w:val="Compact"/>
        <w:numPr>
          <w:ilvl w:val="0"/>
          <w:numId w:val="1003"/>
        </w:numPr>
      </w:pPr>
      <w:r>
        <w:t xml:space="preserve">Policy hit rates and block rates</w:t>
      </w:r>
    </w:p>
    <w:p>
      <w:pPr>
        <w:pStyle w:val="Compact"/>
        <w:numPr>
          <w:ilvl w:val="0"/>
          <w:numId w:val="1003"/>
        </w:numPr>
      </w:pPr>
      <w:r>
        <w:t xml:space="preserve">Report-only impact before enforcement</w:t>
      </w:r>
    </w:p>
    <w:p>
      <w:pPr>
        <w:pStyle w:val="Compact"/>
        <w:numPr>
          <w:ilvl w:val="0"/>
          <w:numId w:val="1003"/>
        </w:numPr>
      </w:pPr>
      <w:r>
        <w:t xml:space="preserve">Sign-in failures attributable to Conditional Access</w:t>
      </w:r>
    </w:p>
    <w:p>
      <w:pPr>
        <w:pStyle w:val="Compact"/>
        <w:numPr>
          <w:ilvl w:val="0"/>
          <w:numId w:val="1003"/>
        </w:numPr>
      </w:pPr>
      <w:r>
        <w:t xml:space="preserve">Break-glass account usage</w:t>
      </w:r>
    </w:p>
    <w:p>
      <w:pPr>
        <w:pStyle w:val="Compact"/>
        <w:numPr>
          <w:ilvl w:val="0"/>
          <w:numId w:val="1003"/>
        </w:numPr>
      </w:pPr>
      <w:r>
        <w:t xml:space="preserve">Residual risk from exclusions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2026-10-19T10:11:01Z</dcterms:created>
  <dcterms:modified xsi:type="dcterms:W3CDTF">2026-10-19T10:11:01Z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