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D. Directory Migration (DM_*)</w:t>
      </w:r>
    </w:p>
    <w:p>
      <w:pPr>
        <w:pStyle w:val="Subtitle"/>
      </w:pPr>
      <w:r>
        <w:t xml:space="preserve">Eight adapter interfaces for every infrastructure service AD was holding together</w:t>
      </w:r>
    </w:p>
    <w:p>
      <w:pPr>
        <w:pStyle w:val="Date"/>
      </w:pPr>
      <w:r>
        <w:t xml:space="preserve">2026-04-24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d.-directory-migration-dm_"/>
    <w:p>
      <w:pPr>
        <w:pStyle w:val="Heading1"/>
      </w:pPr>
      <w:r>
        <w:t xml:space="preserve">D. Directory Migration (DM_*)</w:t>
      </w:r>
    </w:p>
    <w:p>
      <w:pPr>
        <w:pStyle w:val="FirstParagraph"/>
      </w:pPr>
      <w:r>
        <w:t xml:space="preserve">Active Directory was the implicit governance anchor for eleven categories</w:t>
      </w:r>
      <w:r>
        <w:t xml:space="preserve"> </w:t>
      </w:r>
      <w:r>
        <w:t xml:space="preserve">of infrastructure objects. When AD goes away, each must be migrated to a</w:t>
      </w:r>
      <w:r>
        <w:t xml:space="preserve"> </w:t>
      </w:r>
      <w:r>
        <w:t xml:space="preserve">modern equivalent with governance preserved. DM_* adapters define the</w:t>
      </w:r>
      <w:r>
        <w:t xml:space="preserve"> </w:t>
      </w:r>
      <w:r>
        <w:t xml:space="preserve">interface; vendor implementations plug in underneath.</w:t>
      </w:r>
    </w:p>
    <w:bookmarkStart w:id="10" w:name="leaves"/>
    <w:p>
      <w:pPr>
        <w:pStyle w:val="Heading2"/>
      </w:pPr>
      <w:r>
        <w:t xml:space="preserve">Leaves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Adapter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D.1</w:t>
            </w:r>
          </w:p>
        </w:tc>
        <w:tc>
          <w:tcPr/>
          <w:p>
            <w:pPr>
              <w:pStyle w:val="Compact"/>
            </w:pPr>
            <w:r>
              <w:t xml:space="preserve">IPAM Adapter — DM_010</w:t>
            </w:r>
          </w:p>
        </w:tc>
        <w:tc>
          <w:tcPr/>
          <w:p>
            <w:pPr>
              <w:pStyle w:val="Compact"/>
            </w:pPr>
            <w:r>
              <w:t xml:space="preserve">Source present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D.2</w:t>
            </w:r>
          </w:p>
        </w:tc>
        <w:tc>
          <w:tcPr/>
          <w:p>
            <w:pPr>
              <w:pStyle w:val="Compact"/>
            </w:pPr>
            <w:r>
              <w:t xml:space="preserve">DNS Adapter — DM_015</w:t>
            </w:r>
          </w:p>
        </w:tc>
        <w:tc>
          <w:tcPr/>
          <w:p>
            <w:pPr>
              <w:pStyle w:val="Compact"/>
            </w:pPr>
            <w:r>
              <w:t xml:space="preserve">⚠</w:t>
            </w:r>
            <w:r>
              <w:t xml:space="preserve"> </w:t>
            </w:r>
            <w:r>
              <w:rPr>
                <w:i/>
                <w:iCs/>
              </w:rPr>
              <w:t xml:space="preserve">gap — not in registry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D.3</w:t>
            </w:r>
          </w:p>
        </w:tc>
        <w:tc>
          <w:tcPr/>
          <w:p>
            <w:pPr>
              <w:pStyle w:val="Compact"/>
            </w:pPr>
            <w:r>
              <w:t xml:space="preserve">DHCP Adapter — DM_016</w:t>
            </w:r>
          </w:p>
        </w:tc>
        <w:tc>
          <w:tcPr/>
          <w:p>
            <w:pPr>
              <w:pStyle w:val="Compact"/>
            </w:pPr>
            <w:r>
              <w:t xml:space="preserve">⚠</w:t>
            </w:r>
            <w:r>
              <w:t xml:space="preserve"> </w:t>
            </w:r>
            <w:r>
              <w:rPr>
                <w:i/>
                <w:iCs/>
              </w:rPr>
              <w:t xml:space="preserve">gap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D.4</w:t>
            </w:r>
          </w:p>
        </w:tc>
        <w:tc>
          <w:tcPr/>
          <w:p>
            <w:pPr>
              <w:pStyle w:val="Compact"/>
            </w:pPr>
            <w:r>
              <w:t xml:space="preserve">PKI / ADCS Adapter — DM_020</w:t>
            </w:r>
          </w:p>
        </w:tc>
        <w:tc>
          <w:tcPr/>
          <w:p>
            <w:pPr>
              <w:pStyle w:val="Compact"/>
            </w:pPr>
            <w:r>
              <w:t xml:space="preserve">Source present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D.5</w:t>
            </w:r>
          </w:p>
        </w:tc>
        <w:tc>
          <w:tcPr/>
          <w:p>
            <w:pPr>
              <w:pStyle w:val="Compact"/>
            </w:pPr>
            <w:r>
              <w:t xml:space="preserve">RADIUS / NPS Adapter — DM_030</w:t>
            </w:r>
          </w:p>
        </w:tc>
        <w:tc>
          <w:tcPr/>
          <w:p>
            <w:pPr>
              <w:pStyle w:val="Compact"/>
            </w:pPr>
            <w:r>
              <w:t xml:space="preserve">Source present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D.6</w:t>
            </w:r>
          </w:p>
        </w:tc>
        <w:tc>
          <w:tcPr/>
          <w:p>
            <w:pPr>
              <w:pStyle w:val="Compact"/>
            </w:pPr>
            <w:r>
              <w:t xml:space="preserve">LDAP Proxy Adapter — DM_040</w:t>
            </w:r>
          </w:p>
        </w:tc>
        <w:tc>
          <w:tcPr/>
          <w:p>
            <w:pPr>
              <w:pStyle w:val="Compact"/>
            </w:pPr>
            <w:r>
              <w:t xml:space="preserve">Source present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D.7</w:t>
            </w:r>
          </w:p>
        </w:tc>
        <w:tc>
          <w:tcPr/>
          <w:p>
            <w:pPr>
              <w:pStyle w:val="Compact"/>
            </w:pPr>
            <w:r>
              <w:t xml:space="preserve">Sync Engine Adapter — DM_050</w:t>
            </w:r>
          </w:p>
        </w:tc>
        <w:tc>
          <w:tcPr/>
          <w:p>
            <w:pPr>
              <w:pStyle w:val="Compact"/>
            </w:pPr>
            <w:r>
              <w:t xml:space="preserve">Source present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D.8</w:t>
            </w:r>
          </w:p>
        </w:tc>
        <w:tc>
          <w:tcPr/>
          <w:p>
            <w:pPr>
              <w:pStyle w:val="Compact"/>
            </w:pPr>
            <w:r>
              <w:t xml:space="preserve">Device Management Adapter — DM_060</w:t>
            </w:r>
          </w:p>
        </w:tc>
        <w:tc>
          <w:tcPr/>
          <w:p>
            <w:pPr>
              <w:pStyle w:val="Compact"/>
            </w:pPr>
            <w:r>
              <w:t xml:space="preserve">Source present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D.9</w:t>
            </w:r>
          </w:p>
        </w:tc>
        <w:tc>
          <w:tcPr/>
          <w:p>
            <w:pPr>
              <w:pStyle w:val="Compact"/>
            </w:pPr>
            <w:r>
              <w:t xml:space="preserve">NTP Adapter — DM_070</w:t>
            </w:r>
          </w:p>
        </w:tc>
        <w:tc>
          <w:tcPr/>
          <w:p>
            <w:pPr>
              <w:pStyle w:val="Compact"/>
            </w:pPr>
            <w:r>
              <w:t xml:space="preserve">Source present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D.10</w:t>
            </w:r>
          </w:p>
        </w:tc>
        <w:tc>
          <w:tcPr/>
          <w:p>
            <w:pPr>
              <w:pStyle w:val="Compact"/>
            </w:pPr>
            <w:r>
              <w:t xml:space="preserve">DFS Adapter — DM_080</w:t>
            </w:r>
          </w:p>
        </w:tc>
        <w:tc>
          <w:tcPr/>
          <w:p>
            <w:pPr>
              <w:pStyle w:val="Compact"/>
            </w:pPr>
            <w:r>
              <w:t xml:space="preserve">Source present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D.11</w:t>
            </w:r>
          </w:p>
        </w:tc>
        <w:tc>
          <w:tcPr/>
          <w:p>
            <w:pPr>
              <w:pStyle w:val="Compact"/>
            </w:pPr>
            <w:r>
              <w:t xml:space="preserve">SPN / App Registration — DM_085</w:t>
            </w:r>
          </w:p>
        </w:tc>
        <w:tc>
          <w:tcPr/>
          <w:p>
            <w:pPr>
              <w:pStyle w:val="Compact"/>
            </w:pPr>
            <w:r>
              <w:t xml:space="preserve">⚠</w:t>
            </w:r>
            <w:r>
              <w:t xml:space="preserve"> </w:t>
            </w:r>
            <w:r>
              <w:rPr>
                <w:i/>
                <w:iCs/>
              </w:rPr>
              <w:t xml:space="preserve">gap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D.12</w:t>
            </w:r>
          </w:p>
        </w:tc>
        <w:tc>
          <w:tcPr/>
          <w:p>
            <w:pPr>
              <w:pStyle w:val="Compact"/>
            </w:pPr>
            <w:r>
              <w:t xml:space="preserve">Trust Relationship — DM_090</w:t>
            </w:r>
          </w:p>
        </w:tc>
        <w:tc>
          <w:tcPr/>
          <w:p>
            <w:pPr>
              <w:pStyle w:val="Compact"/>
            </w:pPr>
            <w:r>
              <w:t xml:space="preserve">⚠</w:t>
            </w:r>
            <w:r>
              <w:t xml:space="preserve"> </w:t>
            </w:r>
            <w:r>
              <w:rPr>
                <w:i/>
                <w:iCs/>
              </w:rPr>
              <w:t xml:space="preserve">gap</w:t>
            </w:r>
          </w:p>
        </w:tc>
      </w:tr>
    </w:tbl>
    <w:p>
      <w:pPr>
        <w:pStyle w:val="BodyText"/>
      </w:pPr>
      <w:r>
        <w:t xml:space="preserve">Canon surface:</w:t>
      </w:r>
      <w:r>
        <w:t xml:space="preserve"> </w:t>
      </w:r>
      <w:hyperlink r:id="rId9">
        <w:r>
          <w:rPr>
            <w:rStyle w:val="Hyperlink"/>
          </w:rPr>
          <w:t xml:space="preserve">modernization/directory-migration.qmd</w:t>
        </w:r>
      </w:hyperlink>
    </w:p>
    <w:bookmarkEnd w:id="10"/>
    <w:bookmarkStart w:id="13" w:name="X616ebc7fc55073433cd3ffca5acba3135189478"/>
    <w:p>
      <w:pPr>
        <w:pStyle w:val="Heading2"/>
      </w:pPr>
      <w:r>
        <w:t xml:space="preserve">Canon Phase Mapping Requirement (the program decision)</w:t>
      </w:r>
    </w:p>
    <w:p>
      <w:pPr>
        <w:pStyle w:val="FirstParagraph"/>
      </w:pPr>
      <w:r>
        <w:t xml:space="preserve">Every leaf in this subcategory — DNS, PKI, RADIUS, LDAP, DHCP, Sync Engine, Device Management, NTP, DFS, and the SPN / Trust gap-fillers — MUST publish a</w:t>
      </w:r>
      <w:r>
        <w:t xml:space="preserve"> </w:t>
      </w:r>
      <w:r>
        <w:rPr>
          <w:b/>
          <w:bCs/>
        </w:rPr>
        <w:t xml:space="preserve">Canon Phase Mapping</w:t>
      </w:r>
      <w:r>
        <w:t xml:space="preserve"> </w:t>
      </w:r>
      <w:r>
        <w:t xml:space="preserve">table at the top of its operational guide, mapping the guide’s phases to the canonical six-phase Directory Migration model (Discover → Normalize → Map → Migrate → Validate → Decommission). Per [the program decision], this requirement applies to every existing and future adapter guide in this taxonomy.</w:t>
      </w:r>
    </w:p>
    <w:p>
      <w:pPr>
        <w:pStyle w:val="BodyText"/>
      </w:pPr>
      <w:r>
        <w:t xml:space="preserve">Reference implementations:</w:t>
      </w:r>
      <w:r>
        <w:t xml:space="preserve"> </w:t>
      </w:r>
      <w:hyperlink r:id="rId11">
        <w:r>
          <w:rPr>
            <w:rStyle w:val="Hyperlink"/>
          </w:rPr>
          <w:t xml:space="preserve">DNS Modernization</w:t>
        </w:r>
      </w:hyperlink>
      <w:r>
        <w:t xml:space="preserve"> </w:t>
      </w:r>
      <w:r>
        <w:t xml:space="preserve">(11→6 mapping) and</w:t>
      </w:r>
      <w:r>
        <w:t xml:space="preserve"> </w:t>
      </w:r>
      <w:hyperlink r:id="rId12">
        <w:r>
          <w:rPr>
            <w:rStyle w:val="Hyperlink"/>
          </w:rPr>
          <w:t xml:space="preserve">PKI Modernization</w:t>
        </w:r>
      </w:hyperlink>
      <w:r>
        <w:t xml:space="preserve"> </w:t>
      </w:r>
      <w:r>
        <w:t xml:space="preserve">(6→6 mapping). Contributor guidance is in [</w:t>
      </w:r>
      <w:r>
        <w:rPr>
          <w:rStyle w:val="VerbatimChar"/>
        </w:rPr>
        <w:t xml:space="preserve">src/fmp/modernization/directory-migration/README.md</w:t>
      </w:r>
      <w:r>
        <w:t xml:space="preserve">] under</w:t>
      </w:r>
      <w:r>
        <w:t xml:space="preserve"> </w:t>
      </w:r>
      <w:r>
        <w:t xml:space="preserve">“Adding a New Adapter Migration Guide”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/../reference-architecture/directory-migration.md" TargetMode="External" /><Relationship Type="http://schemas.openxmlformats.org/officeDocument/2006/relationships/hyperlink" Id="rId11" Target="../network-transformation/dns-modernization.md" TargetMode="External" /><Relationship Type="http://schemas.openxmlformats.org/officeDocument/2006/relationships/hyperlink" Id="rId12" Target="../pki-modernization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/../reference-architecture/directory-migration.md" TargetMode="External" /><Relationship Type="http://schemas.openxmlformats.org/officeDocument/2006/relationships/hyperlink" Id="rId11" Target="../network-transformation/dns-modernization.md" TargetMode="External" /><Relationship Type="http://schemas.openxmlformats.org/officeDocument/2006/relationships/hyperlink" Id="rId12" Target="../pki-modernization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D. Directory Migration (DM_*)</dc:title>
  <dc:creator/>
  <cp:keywords/>
  <dcterms:created xsi:type="dcterms:W3CDTF">2026-10-19T10:11:01Z</dcterms:created>
  <dcterms:modified xsi:type="dcterms:W3CDTF">2026-10-19T10:11:01Z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biblio-config">
    <vt:lpwstr>True</vt:lpwstr>
  </property>
  <property fmtid="{D5CDD505-2E9C-101B-9397-08002B2CF9AE}" pid="4" name="date">
    <vt:lpwstr>2026-04-24</vt:lpwstr>
  </property>
  <property fmtid="{D5CDD505-2E9C-101B-9397-08002B2CF9AE}" pid="5" name="doc-type">
    <vt:lpwstr>subcategory-landing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adopted</vt:lpwstr>
  </property>
  <property fmtid="{D5CDD505-2E9C-101B-9397-08002B2CF9AE}" pid="11" name="lifecycle_review">
    <vt:lpwstr>2026-11-22</vt:lpwstr>
  </property>
  <property fmtid="{D5CDD505-2E9C-101B-9397-08002B2CF9AE}" pid="12" name="pillar">
    <vt:lpwstr>modernization</vt:lpwstr>
  </property>
  <property fmtid="{D5CDD505-2E9C-101B-9397-08002B2CF9AE}" pid="13" name="status">
    <vt:lpwstr>scaffold</vt:lpwstr>
  </property>
  <property fmtid="{D5CDD505-2E9C-101B-9397-08002B2CF9AE}" pid="14" name="sub-category">
    <vt:lpwstr>D</vt:lpwstr>
  </property>
  <property fmtid="{D5CDD505-2E9C-101B-9397-08002B2CF9AE}" pid="15" name="subtitle">
    <vt:lpwstr>Eight adapter interfaces for every infrastructure service AD was holding together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