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dns-modernization-guide"/>
    <w:p>
      <w:pPr>
        <w:pStyle w:val="Heading1"/>
      </w:pPr>
      <w:r>
        <w:t xml:space="preserve">DNS Modernization Guide</w:t>
      </w:r>
    </w:p>
    <w:p>
      <w:pPr>
        <w:pStyle w:val="FirstParagraph"/>
      </w:pPr>
      <w:r>
        <w:t xml:space="preserve">Moving from AD-integrated DNS to hybrid resolution across on-premises and cloud.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guide describes the operational sequence for migrating from Active Directory-integrated DNS to a hybrid resolution model that correctly serves private endpoints, SaaS namespaces, and residual on-premises zones.</w:t>
      </w:r>
    </w:p>
    <w:bookmarkEnd w:id="9"/>
    <w:bookmarkStart w:id="10" w:name="phases"/>
    <w:p>
      <w:pPr>
        <w:pStyle w:val="Heading2"/>
      </w:pPr>
      <w:r>
        <w:t xml:space="preserve">Phases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Assessment — inventory zones, forwarders, SRV records, and current resolution paths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Deploy cloud private resolver infrastructure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Create private DNS zones and import non-AD zones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Configure forwarding rulesets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Migrate conditional forwarders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Migrate residual zones (GlobalNames, reverse lookup)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Configure private endpoint DNS zones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Gradual client DNS server migration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Validate SRV and service records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Decommission legacy DNS servers after verification</w:t>
            </w:r>
          </w:p>
        </w:tc>
      </w:tr>
    </w:tbl>
    <w:bookmarkEnd w:id="10"/>
    <w:bookmarkStart w:id="11" w:name="key-risks"/>
    <w:p>
      <w:pPr>
        <w:pStyle w:val="Heading2"/>
      </w:pPr>
      <w:r>
        <w:t xml:space="preserve">Key risks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Split-brain</w:t>
      </w:r>
      <w:r>
        <w:t xml:space="preserve"> </w:t>
      </w:r>
      <w:r>
        <w:t xml:space="preserve">— The same name resolves differently depending on origin if forwarding rules are missing or stale.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Private endpoint fallback</w:t>
      </w:r>
      <w:r>
        <w:t xml:space="preserve"> </w:t>
      </w:r>
      <w:r>
        <w:t xml:space="preserve">— Missing conditional forwarding causes private endpoints to resolve to public addresses.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SRV orphaning</w:t>
      </w:r>
      <w:r>
        <w:t xml:space="preserve"> </w:t>
      </w:r>
      <w:r>
        <w:t xml:space="preserve">— Active Directory service records do not migrate automatically and must be inventoried before domain controller decommissioning.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OCSP/CRL reachability</w:t>
      </w:r>
      <w:r>
        <w:t xml:space="preserve"> </w:t>
      </w:r>
      <w:r>
        <w:t xml:space="preserve">— Certificate validation endpoints must resolve consistently from every location.</w:t>
      </w:r>
    </w:p>
    <w:bookmarkEnd w:id="11"/>
    <w:bookmarkStart w:id="12" w:name="success-criteria"/>
    <w:p>
      <w:pPr>
        <w:pStyle w:val="Heading2"/>
      </w:pPr>
      <w: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Same query returns the intended answer (private or public) from every governed origin.</w:t>
      </w:r>
    </w:p>
    <w:p>
      <w:pPr>
        <w:pStyle w:val="Compact"/>
        <w:numPr>
          <w:ilvl w:val="0"/>
          <w:numId w:val="1002"/>
        </w:numPr>
      </w:pPr>
      <w:r>
        <w:t xml:space="preserve">Private endpoint traffic stays on the private path.</w:t>
      </w:r>
    </w:p>
    <w:p>
      <w:pPr>
        <w:pStyle w:val="Compact"/>
        <w:numPr>
          <w:ilvl w:val="0"/>
          <w:numId w:val="1002"/>
        </w:numPr>
      </w:pPr>
      <w:r>
        <w:t xml:space="preserve">No residual dependency on decommissioned DNS servers.</w:t>
      </w:r>
    </w:p>
    <w:p>
      <w:pPr>
        <w:pStyle w:val="Compact"/>
        <w:numPr>
          <w:ilvl w:val="0"/>
          <w:numId w:val="1002"/>
        </w:numPr>
      </w:pPr>
      <w:r>
        <w:t xml:space="preserve">Query logging confirms resolution-path consistency.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2026-10-19T10:11:01Z</dcterms:created>
  <dcterms:modified xsi:type="dcterms:W3CDTF">2026-10-19T10:11:01Z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