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bookmarkStart w:id="16" w:name="gpo-sunset-program"/>
    <w:p>
      <w:pPr>
        <w:pStyle w:val="Heading1"/>
      </w:pPr>
      <w:r>
        <w:t xml:space="preserve">GPO Sunset Program</w:t>
      </w:r>
    </w:p>
    <w:p>
      <w:pPr>
        <w:pStyle w:val="FirstParagraph"/>
      </w:pPr>
      <w:r>
        <w:t xml:space="preserve">Existing-fleet GPO replacement — a phased migration to Intune.</w:t>
      </w:r>
    </w:p>
    <w:bookmarkStart w:id="9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This document describes a structured program for replacing Active Directory Group Policy Objects with Microsoft Intune policies on currently deployed endpoints. The goal is formal GPO retirement after coexistence and verification, not a literal copy of every legacy setting.</w:t>
      </w:r>
    </w:p>
    <w:bookmarkEnd w:id="9"/>
    <w:bookmarkStart w:id="10" w:name="scope-distinction"/>
    <w:p>
      <w:pPr>
        <w:pStyle w:val="Heading2"/>
      </w:pPr>
      <w:r>
        <w:t xml:space="preserve">Scope distinction</w:t>
      </w:r>
    </w:p>
    <w:p>
      <w:pPr>
        <w:pStyle w:val="FirstParagraph"/>
      </w:pPr>
      <w:r>
        <w:t xml:space="preserve">Three related but distinct activities touch Intune during modernization: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Intune-First Asset Onboarding</w:t>
      </w:r>
      <w:r>
        <w:t xml:space="preserve"> </w:t>
      </w:r>
      <w:r>
        <w:t xml:space="preserve">— Net-new devices receive governance at procurement time.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GPO Sunset Program</w:t>
      </w:r>
      <w:r>
        <w:t xml:space="preserve"> </w:t>
      </w:r>
      <w:r>
        <w:t xml:space="preserve">(this document) — Existing fleet. Phased replacement of GPOs on currently deployed endpoints, ending in formal GPO retirement.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Policy Transformation Pattern</w:t>
      </w:r>
      <w:r>
        <w:t xml:space="preserve"> </w:t>
      </w:r>
      <w:r>
        <w:t xml:space="preserve">— The philosophy that governs how replacement policies are authored: regenerate, do not copy.</w:t>
      </w:r>
    </w:p>
    <w:p>
      <w:pPr>
        <w:pStyle w:val="FirstParagraph"/>
      </w:pPr>
      <w:r>
        <w:t xml:space="preserve">The setting-level mapping that accompanies this program is a semantic translation reference. It is not a prescription to reproduce every GPO setting one-for-one.</w:t>
      </w:r>
    </w:p>
    <w:bookmarkEnd w:id="10"/>
    <w:bookmarkStart w:id="11" w:name="seven-phase-sequence"/>
    <w:p>
      <w:pPr>
        <w:pStyle w:val="Heading2"/>
      </w:pPr>
      <w:r>
        <w:t xml:space="preserve">Seven-phase sequence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8"/>
        <w:gridCol w:w="1848"/>
        <w:gridCol w:w="422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Phase</w:t>
            </w:r>
          </w:p>
        </w:tc>
        <w:tc>
          <w:tcPr/>
          <w:p>
            <w:pPr>
              <w:pStyle w:val="Compact"/>
            </w:pPr>
            <w:r>
              <w:t xml:space="preserve">Focus</w:t>
            </w:r>
          </w:p>
        </w:tc>
        <w:tc>
          <w:tcPr/>
          <w:p>
            <w:pPr>
              <w:pStyle w:val="Compact"/>
            </w:pPr>
            <w:r>
              <w:t xml:space="preserve">Exit condition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Inventory and classify</w:t>
            </w:r>
          </w:p>
        </w:tc>
        <w:tc>
          <w:tcPr/>
          <w:p>
            <w:pPr>
              <w:pStyle w:val="Compact"/>
            </w:pPr>
            <w:r>
              <w:t xml:space="preserve">Complete GPO and setting inventory; high-risk and obsolete settings identified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Coexistence planning</w:t>
            </w:r>
          </w:p>
        </w:tc>
        <w:tc>
          <w:tcPr/>
          <w:p>
            <w:pPr>
              <w:pStyle w:val="Compact"/>
            </w:pPr>
            <w:r>
              <w:t xml:space="preserve">Workload authority (SCCM vs Intune) decided per category; dual-write risks documented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Baseline policy authoring</w:t>
            </w:r>
          </w:p>
        </w:tc>
        <w:tc>
          <w:tcPr/>
          <w:p>
            <w:pPr>
              <w:pStyle w:val="Compact"/>
            </w:pPr>
            <w:r>
              <w:t xml:space="preserve">Compliance, configuration, and endpoint security baselines defined for the target state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Pilot deployment</w:t>
            </w:r>
          </w:p>
        </w:tc>
        <w:tc>
          <w:tcPr/>
          <w:p>
            <w:pPr>
              <w:pStyle w:val="Compact"/>
            </w:pPr>
            <w:r>
              <w:t xml:space="preserve">Representative devices receive Intune policies; GPO still present; conflicts measured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Workload cutover</w:t>
            </w:r>
          </w:p>
        </w:tc>
        <w:tc>
          <w:tcPr/>
          <w:p>
            <w:pPr>
              <w:pStyle w:val="Compact"/>
            </w:pPr>
            <w:r>
              <w:t xml:space="preserve">Authority for each workload moves to Intune; GPO links disabled for those workloads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Verification and residual cleanup</w:t>
            </w:r>
          </w:p>
        </w:tc>
        <w:tc>
          <w:tcPr/>
          <w:p>
            <w:pPr>
              <w:pStyle w:val="Compact"/>
            </w:pPr>
            <w:r>
              <w:t xml:space="preserve">Residual GPO settings confirmed absent or intentionally retained; evidence collected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Formal retirement</w:t>
            </w:r>
          </w:p>
        </w:tc>
        <w:tc>
          <w:tcPr/>
          <w:p>
            <w:pPr>
              <w:pStyle w:val="Compact"/>
            </w:pPr>
            <w:r>
              <w:t xml:space="preserve">GPO objects retired or retained only for documented exceptions; program close</w:t>
            </w:r>
          </w:p>
        </w:tc>
      </w:tr>
    </w:tbl>
    <w:p>
      <w:pPr>
        <w:pStyle w:val="BodyText"/>
      </w:pPr>
      <w:r>
        <w:t xml:space="preserve">Typical duration for a large fleet is measured in months, not weeks. The exact timeline depends on inventory size, co-management state, and exception volume.</w:t>
      </w:r>
    </w:p>
    <w:bookmarkEnd w:id="11"/>
    <w:bookmarkStart w:id="12" w:name="policy-families"/>
    <w:p>
      <w:pPr>
        <w:pStyle w:val="Heading2"/>
      </w:pPr>
      <w:r>
        <w:t xml:space="preserve">Policy families</w:t>
      </w:r>
    </w:p>
    <w:p>
      <w:pPr>
        <w:pStyle w:val="FirstParagraph"/>
      </w:pPr>
      <w:r>
        <w:t xml:space="preserve">Replacement policies fall into three families: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Compliance policies</w:t>
      </w:r>
      <w:r>
        <w:t xml:space="preserve"> </w:t>
      </w:r>
      <w:r>
        <w:t xml:space="preserve">— Minimum device posture required before Conditional Access grants resource access.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Configuration profiles</w:t>
      </w:r>
      <w:r>
        <w:t xml:space="preserve"> </w:t>
      </w:r>
      <w:r>
        <w:t xml:space="preserve">— Settings Catalog and administrative template equivalents.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Endpoint security policies</w:t>
      </w:r>
      <w:r>
        <w:t xml:space="preserve"> </w:t>
      </w:r>
      <w:r>
        <w:t xml:space="preserve">— Defender, firewall, disk encryption, and related controls.</w:t>
      </w:r>
    </w:p>
    <w:p>
      <w:pPr>
        <w:pStyle w:val="FirstParagraph"/>
      </w:pPr>
      <w:r>
        <w:t xml:space="preserve">Each policy should include:</w:t>
      </w:r>
    </w:p>
    <w:p>
      <w:pPr>
        <w:pStyle w:val="Compact"/>
        <w:numPr>
          <w:ilvl w:val="0"/>
          <w:numId w:val="1003"/>
        </w:numPr>
      </w:pPr>
      <w:r>
        <w:t xml:space="preserve">Target population (expressed as dynamic groups or filters derived from a canonical attribute model)</w:t>
      </w:r>
    </w:p>
    <w:p>
      <w:pPr>
        <w:pStyle w:val="Compact"/>
        <w:numPr>
          <w:ilvl w:val="0"/>
          <w:numId w:val="1003"/>
        </w:numPr>
      </w:pPr>
      <w:r>
        <w:t xml:space="preserve">Setting table with intended values</w:t>
      </w:r>
    </w:p>
    <w:p>
      <w:pPr>
        <w:pStyle w:val="Compact"/>
        <w:numPr>
          <w:ilvl w:val="0"/>
          <w:numId w:val="1003"/>
        </w:numPr>
      </w:pPr>
      <w:r>
        <w:t xml:space="preserve">Mapping to the GPO setting(s) it replaces</w:t>
      </w:r>
    </w:p>
    <w:p>
      <w:pPr>
        <w:pStyle w:val="Compact"/>
        <w:numPr>
          <w:ilvl w:val="0"/>
          <w:numId w:val="1003"/>
        </w:numPr>
      </w:pPr>
      <w:r>
        <w:t xml:space="preserve">Verification method</w:t>
      </w:r>
    </w:p>
    <w:bookmarkEnd w:id="12"/>
    <w:bookmarkStart w:id="13" w:name="coexistence-caution"/>
    <w:p>
      <w:pPr>
        <w:pStyle w:val="Heading2"/>
      </w:pPr>
      <w:r>
        <w:t xml:space="preserve">Coexistence caution</w:t>
      </w:r>
    </w:p>
    <w:p>
      <w:pPr>
        <w:pStyle w:val="FirstParagraph"/>
      </w:pPr>
      <w:r>
        <w:t xml:space="preserve">When SCCM and Intune both manage the same workload, devices can receive conflicting settings. The workload slider (or equivalent authority control) must designate a single authority before Intune policies for that workload are deployed. Deploying Intune policies while the workload remains under SCCM causes the Intune policy to be ignored.</w:t>
      </w:r>
    </w:p>
    <w:bookmarkEnd w:id="13"/>
    <w:bookmarkStart w:id="14" w:name="translation-philosophy"/>
    <w:p>
      <w:pPr>
        <w:pStyle w:val="Heading2"/>
      </w:pPr>
      <w:r>
        <w:t xml:space="preserve">Translation philosophy</w:t>
      </w:r>
    </w:p>
    <w:p>
      <w:pPr>
        <w:pStyle w:val="FirstParagraph"/>
      </w:pPr>
      <w:r>
        <w:t xml:space="preserve">Use the GPO-to-Intune mapping as a lookup, not a copy list. For each setting ask:</w:t>
      </w:r>
    </w:p>
    <w:p>
      <w:pPr>
        <w:pStyle w:val="Compact"/>
        <w:numPr>
          <w:ilvl w:val="0"/>
          <w:numId w:val="1004"/>
        </w:numPr>
      </w:pPr>
      <w:r>
        <w:t xml:space="preserve">Is this still required in the target operating model?</w:t>
      </w:r>
    </w:p>
    <w:p>
      <w:pPr>
        <w:pStyle w:val="Compact"/>
        <w:numPr>
          <w:ilvl w:val="0"/>
          <w:numId w:val="1004"/>
        </w:numPr>
      </w:pPr>
      <w:r>
        <w:t xml:space="preserve">Does a native Intune or Endpoint Security equivalent exist?</w:t>
      </w:r>
    </w:p>
    <w:p>
      <w:pPr>
        <w:pStyle w:val="Compact"/>
        <w:numPr>
          <w:ilvl w:val="0"/>
          <w:numId w:val="1004"/>
        </w:numPr>
      </w:pPr>
      <w:r>
        <w:t xml:space="preserve">Should the control be expressed as a compliance requirement, a configuration setting, or both?</w:t>
      </w:r>
    </w:p>
    <w:p>
      <w:pPr>
        <w:pStyle w:val="Compact"/>
        <w:numPr>
          <w:ilvl w:val="0"/>
          <w:numId w:val="1004"/>
        </w:numPr>
      </w:pPr>
      <w:r>
        <w:t xml:space="preserve">What evidence will prove the control is in effect?</w:t>
      </w:r>
    </w:p>
    <w:p>
      <w:pPr>
        <w:pStyle w:val="FirstParagraph"/>
      </w:pPr>
      <w:r>
        <w:t xml:space="preserve">Obsolete, redundant, or high-risk settings should be retired rather than translated.</w:t>
      </w:r>
    </w:p>
    <w:bookmarkEnd w:id="14"/>
    <w:bookmarkStart w:id="15" w:name="bottom-line"/>
    <w:p>
      <w:pPr>
        <w:pStyle w:val="Heading2"/>
      </w:pPr>
      <w:r>
        <w:t xml:space="preserve">Bottom line</w:t>
      </w:r>
    </w:p>
    <w:p>
      <w:pPr>
        <w:pStyle w:val="FirstParagraph"/>
      </w:pPr>
      <w:r>
        <w:t xml:space="preserve">GPO sunset is a multi-phase program that ends in formal retirement of the legacy policy surface. Success depends on inventory, authority decisions, coexistence discipline, and a regenerate-not-copy authoring approach — not on volume of settings migrated.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/>
          <w:iCs/>
        </w:rPr>
        <w:t xml:space="preserve">Cleaned extraction for project use. No internal branding or document identifiers.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/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keepLines/>
    </w:p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uiPriority w:val="59"/>
    <w:qFormat/>
    <w:tblPr>
      <w:tblInd w:type="dxa" w:w="0"/>
      <w:tblBorders>
        <w:top w:color="0078D4" w:space="0" w:sz="12" w:val="single"/>
        <w:bottom w:color="0078D4" w:space="0" w:sz="12" w:val="single"/>
        <w:left w:val="nil"/>
        <w:right w:val="nil"/>
        <w:insideH w:color="D1D5DA" w:space="0" w:sz="4" w:val="single"/>
        <w:insideV w:val="nil"/>
      </w:tblBorders>
      <w:tblCellMar>
        <w:top w:type="dxa" w:w="80"/>
        <w:left w:type="dxa" w:w="108"/>
        <w:bottom w:type="dxa" w:w="80"/>
        <w:right w:type="dxa" w:w="108"/>
      </w:tblCellMar>
    </w:tblPr>
    <w:tblStylePr w:type="firstRow">
      <w:rPr>
        <w:b/>
      </w:rPr>
      <w:tcPr>
        <w:tcBorders>
          <w:bottom w:color="0078D4" w:space="0" w:sz="8"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SourceCode" w:type="paragraph">
    <w:name w:val="Source Code"/>
    <w:basedOn w:val="Normal"/>
    <w:link w:val="VerbatimChar"/>
    <w:pPr>
      <w:pBdr>
        <w:top w:color="D1D5DA" w:space="6" w:sz="6" w:val="single"/>
        <w:left w:color="D1D5DA" w:space="6" w:sz="6" w:val="single"/>
        <w:bottom w:color="D1D5DA" w:space="6" w:sz="6" w:val="single"/>
        <w:right w:color="D1D5DA" w:space="6" w:sz="6" w:val="single"/>
      </w:pBdr>
      <w:shd w:fill="F6F8FA" w:val="clear"/>
      <w:wordWrap w:val="off"/>
      <w:spacing w:after="0" w:before="0" w:line="240" w:lineRule="auto"/>
      <w:ind w:left="144" w:right="144"/>
      <w:contextualSpacing/>
    </w:pPr>
    <w:rPr>
      <w:rFonts w:ascii="Consolas" w:hAnsi="Consolas"/>
      <w:color w:val="24292E"/>
      <w:sz w:val="18"/>
    </w:rPr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2026-10-19T10:11:03Z</dcterms:created>
  <dcterms:modified xsi:type="dcterms:W3CDTF">2026-10-19T10:11:03Z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header-includes">
    <vt:lpwstr/>
  </property>
  <property fmtid="{D5CDD505-2E9C-101B-9397-08002B2CF9AE}" pid="4" name="include-after">
    <vt:lpwstr/>
  </property>
  <property fmtid="{D5CDD505-2E9C-101B-9397-08002B2CF9AE}" pid="5" name="include-before">
    <vt:lpwstr/>
  </property>
  <property fmtid="{D5CDD505-2E9C-101B-9397-08002B2CF9AE}" pid="6" name="labels">
    <vt:lpwstr/>
  </property>
  <property fmtid="{D5CDD505-2E9C-101B-9397-08002B2CF9AE}" pid="7" name="toc-title">
    <vt:lpwstr>Table of contents</vt:lpwstr>
  </property>
</Properties>
</file>