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31.png" ContentType="image/png"/>
  <Override PartName="/word/media/rId9.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Help Desk Administrative Responsibilities Guide</w:t>
      </w:r>
    </w:p>
    <w:p>
      <w:pPr>
        <w:pStyle w:val="Subtitle"/>
      </w:pPr>
      <w:r>
        <w:t xml:space="preserve">Microsoft Entra ID identity operations reference — authority boundaries, PAG/PIM, and SAM/ServiceNow integration</w:t>
      </w:r>
    </w:p>
    <w:p>
      <w:pPr>
        <w:pStyle w:val="Author"/>
      </w:pPr>
      <w:r>
        <w:t xml:space="preserve">Michael Stratton</w:t>
      </w:r>
    </w:p>
    <w:p>
      <w:pPr>
        <w:pStyle w:val="Date"/>
      </w:pPr>
      <w:r>
        <w:t xml:space="preserve">2026-06-01</w:t>
      </w:r>
    </w:p>
    <w:sdt>
      <w:sdtPr>
        <w:docPartObj>
          <w:docPartGallery w:val="Table of Contents"/>
          <w:docPartUnique/>
        </w:docPartObj>
      </w:sdtPr>
      <w:sdtContent>
        <w:p>
          <w:pPr>
            <w:pStyle w:val="TOCHeading"/>
          </w:pPr>
          <w:r>
            <w:t xml:space="preserve">Table of contents</w:t>
          </w:r>
        </w:p>
        <w:p>
          <w:r>
            <w:fldChar w:fldCharType="begin" w:dirty="true"/>
            <w:instrText xml:space="preserve">TOC \o "1-3" \h \z \u</w:instrText>
            <w:fldChar w:fldCharType="separate"/>
            <w:fldChar w:fldCharType="end"/>
          </w:r>
        </w:p>
      </w:sdtContent>
    </w:sdt>
    <w:p>
      <w:pPr>
        <w:pStyle w:val="FirstParagraph"/>
      </w:pPr>
      <w:r>
        <w:rPr>
          <w:i/>
          <w:iCs/>
        </w:rPr>
        <w:t xml:space="preserve">Entra Governance Series — Document 1 of 3. Audience: IT leadership, Help Desk</w:t>
      </w:r>
      <w:r>
        <w:rPr>
          <w:i/>
          <w:iCs/>
        </w:rPr>
        <w:t xml:space="preserve"> </w:t>
      </w:r>
      <w:r>
        <w:rPr>
          <w:i/>
          <w:iCs/>
        </w:rPr>
        <w:t xml:space="preserve">supervisors, and Help Desk technicians. Platforms referenced: Microsoft Entra ID</w:t>
      </w:r>
      <w:r>
        <w:rPr>
          <w:i/>
          <w:iCs/>
        </w:rPr>
        <w:t xml:space="preserve"> </w:t>
      </w:r>
      <w:r>
        <w:rPr>
          <w:i/>
          <w:iCs/>
        </w:rPr>
        <w:t xml:space="preserve">· SAM (SailPoint IGA) · ServiceNow ITSM · Microsoft PIM.</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10" name="Picture"/>
                  <a:graphic>
                    <a:graphicData uri="http://schemas.openxmlformats.org/drawingml/2006/picture">
                      <pic:pic>
                        <pic:nvPicPr>
                          <pic:cNvPr descr="/opt/quarto/share/formats/docx/note.png" id="11"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Document series notice</w:t>
            </w:r>
          </w:p>
        </w:tc>
      </w:tr>
      <w:tr>
        <w:trPr>
          <w:cantSplit/>
        </w:trPr>
        <w:tc>
          <w:tcPr>
            <w:tcMar>
              <w:top w:w="108" w:type="dxa"/>
              <w:bottom w:w="108" w:type="dxa"/>
            </w:tcMar>
          </w:tcPr>
          <w:p>
            <w:pPr>
              <w:pStyle w:val="BodyText"/>
            </w:pPr>
            <w:pPr>
              <w:spacing w:before="16" w:after="16"/>
            </w:pPr>
            <w:r>
              <w:t xml:space="preserve">This document is</w:t>
            </w:r>
            <w:r>
              <w:t xml:space="preserve"> </w:t>
            </w:r>
            <w:r>
              <w:rPr>
                <w:b/>
                <w:bCs/>
              </w:rPr>
              <w:t xml:space="preserve">Document 1 of 3</w:t>
            </w:r>
            <w:r>
              <w:t xml:space="preserve"> </w:t>
            </w:r>
            <w:r>
              <w:t xml:space="preserve">in the agency’s</w:t>
            </w:r>
            <w:r>
              <w:t xml:space="preserve"> </w:t>
            </w:r>
            <w:r>
              <w:rPr>
                <w:b/>
                <w:bCs/>
              </w:rPr>
              <w:t xml:space="preserve">Entra Governance</w:t>
            </w:r>
            <w:r>
              <w:t xml:space="preserve"> </w:t>
            </w:r>
            <w:r>
              <w:t xml:space="preserve">series.</w:t>
            </w:r>
            <w:r>
              <w:t xml:space="preserve"> </w:t>
            </w:r>
            <w:r>
              <w:t xml:space="preserve">Document 2 covers Privileged Identity Management (PIM) policy and elevation</w:t>
            </w:r>
            <w:r>
              <w:t xml:space="preserve"> </w:t>
            </w:r>
            <w:r>
              <w:t xml:space="preserve">procedures in full. Document 3 covers Identity Governance Officer (IGO)</w:t>
            </w:r>
            <w:r>
              <w:t xml:space="preserve"> </w:t>
            </w:r>
            <w:r>
              <w:t xml:space="preserve">responsibilities and Admin Consent governance. This guide should be read in</w:t>
            </w:r>
            <w:r>
              <w:t xml:space="preserve"> </w:t>
            </w:r>
            <w:r>
              <w:t xml:space="preserve">conjunction with both companion documents.</w:t>
            </w:r>
          </w:p>
          <w:p/>
        </w:tc>
      </w:tr>
    </w:tbl>
    <w:bookmarkStart w:id="16" w:name="purpose-and-scope"/>
    <w:p>
      <w:pPr>
        <w:pStyle w:val="Heading2"/>
      </w:pPr>
      <w:r>
        <w:t xml:space="preserve">Purpose and scope</w:t>
      </w:r>
    </w:p>
    <w:bookmarkStart w:id="12" w:name="purpose"/>
    <w:p>
      <w:pPr>
        <w:pStyle w:val="Heading3"/>
      </w:pPr>
      <w:r>
        <w:t xml:space="preserve">Purpose</w:t>
      </w:r>
    </w:p>
    <w:p>
      <w:pPr>
        <w:pStyle w:val="FirstParagraph"/>
      </w:pPr>
      <w:r>
        <w:t xml:space="preserve">This guide establishes the authoritative reference for all</w:t>
      </w:r>
      <w:r>
        <w:t xml:space="preserve"> </w:t>
      </w:r>
      <w:r>
        <w:rPr>
          <w:b/>
          <w:bCs/>
        </w:rPr>
        <w:t xml:space="preserve">Microsoft Entra ID</w:t>
      </w:r>
      <w:r>
        <w:t xml:space="preserve"> </w:t>
      </w:r>
      <w:r>
        <w:t xml:space="preserve">identity operations performed by Help Desk personnel within the agency. It</w:t>
      </w:r>
      <w:r>
        <w:t xml:space="preserve"> </w:t>
      </w:r>
      <w:r>
        <w:t xml:space="preserve">defines the authority boundaries of the Help Desk function, the privileged access</w:t>
      </w:r>
      <w:r>
        <w:t xml:space="preserve"> </w:t>
      </w:r>
      <w:r>
        <w:t xml:space="preserve">model under which Help Desk operators are permitted to act, the integration</w:t>
      </w:r>
      <w:r>
        <w:t xml:space="preserve"> </w:t>
      </w:r>
      <w:r>
        <w:t xml:space="preserve">requirements with the agency’s</w:t>
      </w:r>
      <w:r>
        <w:t xml:space="preserve"> </w:t>
      </w:r>
      <w:r>
        <w:rPr>
          <w:b/>
          <w:bCs/>
        </w:rPr>
        <w:t xml:space="preserve">Systems Access Management (SAM)</w:t>
      </w:r>
      <w:r>
        <w:t xml:space="preserve"> </w:t>
      </w:r>
      <w:r>
        <w:t xml:space="preserve">platform and</w:t>
      </w:r>
      <w:r>
        <w:t xml:space="preserve"> </w:t>
      </w:r>
      <w:r>
        <w:rPr>
          <w:b/>
          <w:bCs/>
        </w:rPr>
        <w:t xml:space="preserve">ServiceNow ITSM</w:t>
      </w:r>
      <w:r>
        <w:t xml:space="preserve"> </w:t>
      </w:r>
      <w:r>
        <w:t xml:space="preserve">environment, and the standard operating procedures for each</w:t>
      </w:r>
      <w:r>
        <w:t xml:space="preserve"> </w:t>
      </w:r>
      <w:r>
        <w:t xml:space="preserve">class of identity operation.</w:t>
      </w:r>
    </w:p>
    <w:p>
      <w:pPr>
        <w:pStyle w:val="BodyText"/>
      </w:pPr>
      <w:r>
        <w:t xml:space="preserve">This document addresses a foundational architectural reality that all Help Desk</w:t>
      </w:r>
      <w:r>
        <w:t xml:space="preserve"> </w:t>
      </w:r>
      <w:r>
        <w:t xml:space="preserve">personnel and supervisors must understand:</w:t>
      </w:r>
      <w:r>
        <w:t xml:space="preserve"> </w:t>
      </w:r>
      <w:r>
        <w:rPr>
          <w:b/>
          <w:bCs/>
        </w:rPr>
        <w:t xml:space="preserve">Microsoft Entra ID does not include</w:t>
      </w:r>
      <w:r>
        <w:rPr>
          <w:b/>
          <w:bCs/>
        </w:rPr>
        <w:t xml:space="preserve"> </w:t>
      </w:r>
      <w:r>
        <w:rPr>
          <w:b/>
          <w:bCs/>
        </w:rPr>
        <w:t xml:space="preserve">a native</w:t>
      </w:r>
      <w:r>
        <w:rPr>
          <w:b/>
          <w:bCs/>
        </w:rPr>
        <w:t xml:space="preserve"> </w:t>
      </w:r>
      <w:r>
        <w:rPr>
          <w:b/>
          <w:bCs/>
        </w:rPr>
        <w:t xml:space="preserve">“Help Desk”</w:t>
      </w:r>
      <w:r>
        <w:rPr>
          <w:b/>
          <w:bCs/>
        </w:rPr>
        <w:t xml:space="preserve"> </w:t>
      </w:r>
      <w:r>
        <w:rPr>
          <w:b/>
          <w:bCs/>
        </w:rPr>
        <w:t xml:space="preserve">role that covers enterprise identity operations.</w:t>
      </w:r>
      <w:r>
        <w:t xml:space="preserve"> </w:t>
      </w:r>
      <w:r>
        <w:t xml:space="preserve">The</w:t>
      </w:r>
      <w:r>
        <w:t xml:space="preserve"> </w:t>
      </w:r>
      <w:r>
        <w:t xml:space="preserve">built-in</w:t>
      </w:r>
      <w:r>
        <w:t xml:space="preserve"> </w:t>
      </w:r>
      <w:r>
        <w:rPr>
          <w:i/>
          <w:iCs/>
        </w:rPr>
        <w:t xml:space="preserve">Helpdesk Administrator</w:t>
      </w:r>
      <w:r>
        <w:t xml:space="preserve"> </w:t>
      </w:r>
      <w:r>
        <w:t xml:space="preserve">role provided by Microsoft is scoped only to</w:t>
      </w:r>
      <w:r>
        <w:t xml:space="preserve"> </w:t>
      </w:r>
      <w:r>
        <w:t xml:space="preserve">password resets and basic Microsoft 365 tasks. It cannot assign groups to</w:t>
      </w:r>
      <w:r>
        <w:t xml:space="preserve"> </w:t>
      </w:r>
      <w:r>
        <w:t xml:space="preserve">Enterprise Applications, triage or approve Admin Consent grants, reset ImmutableID</w:t>
      </w:r>
      <w:r>
        <w:t xml:space="preserve"> </w:t>
      </w:r>
      <w:r>
        <w:t xml:space="preserve">attributes, manage app role assignments, or manage Service Principals. The</w:t>
      </w:r>
      <w:r>
        <w:t xml:space="preserve"> </w:t>
      </w:r>
      <w:r>
        <w:t xml:space="preserve">agency’s Help Desk operational model is therefore built on a controlled,</w:t>
      </w:r>
      <w:r>
        <w:t xml:space="preserve"> </w:t>
      </w:r>
      <w:r>
        <w:t xml:space="preserve">PIM-gated</w:t>
      </w:r>
      <w:r>
        <w:t xml:space="preserve"> </w:t>
      </w:r>
      <w:r>
        <w:rPr>
          <w:b/>
          <w:bCs/>
        </w:rPr>
        <w:t xml:space="preserve">Privileged Access Group (PAG)</w:t>
      </w:r>
      <w:r>
        <w:t xml:space="preserve"> </w:t>
      </w:r>
      <w:r>
        <w:t xml:space="preserve">with specific least-privilege Entra</w:t>
      </w:r>
      <w:r>
        <w:t xml:space="preserve"> </w:t>
      </w:r>
      <w:r>
        <w:t xml:space="preserve">roles assigned to the group — not to individual technicians.</w:t>
      </w:r>
    </w:p>
    <w:bookmarkEnd w:id="12"/>
    <w:bookmarkStart w:id="13" w:name="scope-what-this-guide-governs"/>
    <w:p>
      <w:pPr>
        <w:pStyle w:val="Heading3"/>
      </w:pPr>
      <w:r>
        <w:t xml:space="preserve">Scope — what this guide governs</w:t>
      </w:r>
    </w:p>
    <w:p>
      <w:pPr>
        <w:pStyle w:val="Compact"/>
        <w:numPr>
          <w:ilvl w:val="0"/>
          <w:numId w:val="1001"/>
        </w:numPr>
      </w:pPr>
      <w:r>
        <w:t xml:space="preserve">All Microsoft Entra ID identity operations performed by Help Desk personnel,</w:t>
      </w:r>
      <w:r>
        <w:t xml:space="preserve"> </w:t>
      </w:r>
      <w:r>
        <w:t xml:space="preserve">including Enterprise Application group assignments, ImmutableID resets, MFA</w:t>
      </w:r>
      <w:r>
        <w:t xml:space="preserve"> </w:t>
      </w:r>
      <w:r>
        <w:t xml:space="preserve">method resets, OneDrive provisioning, and hybrid identity operations.</w:t>
      </w:r>
    </w:p>
    <w:p>
      <w:pPr>
        <w:pStyle w:val="Compact"/>
        <w:numPr>
          <w:ilvl w:val="0"/>
          <w:numId w:val="1001"/>
        </w:numPr>
      </w:pPr>
      <w:r>
        <w:t xml:space="preserve">The design and governance of the Help Desk Privileged Access Group (PAG) and</w:t>
      </w:r>
      <w:r>
        <w:t xml:space="preserve"> </w:t>
      </w:r>
      <w:r>
        <w:t xml:space="preserve">Privileged Identity Management (PIM) elevation procedures.</w:t>
      </w:r>
    </w:p>
    <w:p>
      <w:pPr>
        <w:pStyle w:val="Compact"/>
        <w:numPr>
          <w:ilvl w:val="0"/>
          <w:numId w:val="1001"/>
        </w:numPr>
      </w:pPr>
      <w:r>
        <w:t xml:space="preserve">The integration workflow between the SAM platform (SailPoint-based IGA),</w:t>
      </w:r>
      <w:r>
        <w:t xml:space="preserve"> </w:t>
      </w:r>
      <w:r>
        <w:t xml:space="preserve">ServiceNow ITSM, and Microsoft Entra ID for access requests and provisioning</w:t>
      </w:r>
      <w:r>
        <w:t xml:space="preserve"> </w:t>
      </w:r>
      <w:r>
        <w:t xml:space="preserve">actions.</w:t>
      </w:r>
    </w:p>
    <w:p>
      <w:pPr>
        <w:pStyle w:val="Compact"/>
        <w:numPr>
          <w:ilvl w:val="0"/>
          <w:numId w:val="1001"/>
        </w:numPr>
      </w:pPr>
      <w:r>
        <w:t xml:space="preserve">Admin Consent triage and escalation procedures.</w:t>
      </w:r>
    </w:p>
    <w:p>
      <w:pPr>
        <w:pStyle w:val="Compact"/>
        <w:numPr>
          <w:ilvl w:val="0"/>
          <w:numId w:val="1001"/>
        </w:numPr>
      </w:pPr>
      <w:r>
        <w:t xml:space="preserve">Incoming notification and request handling from Microsoft Security notifications</w:t>
      </w:r>
      <w:r>
        <w:t xml:space="preserve"> </w:t>
      </w:r>
      <w:r>
        <w:t xml:space="preserve">and ServiceNow-generated request items (RITMs).</w:t>
      </w:r>
    </w:p>
    <w:p>
      <w:pPr>
        <w:pStyle w:val="Compact"/>
        <w:numPr>
          <w:ilvl w:val="0"/>
          <w:numId w:val="1001"/>
        </w:numPr>
      </w:pPr>
      <w:r>
        <w:t xml:space="preserve">OneDrive sync issue triage, Entra-level resolution, and approval workflow.</w:t>
      </w:r>
    </w:p>
    <w:p>
      <w:pPr>
        <w:pStyle w:val="Compact"/>
        <w:numPr>
          <w:ilvl w:val="0"/>
          <w:numId w:val="1001"/>
        </w:numPr>
      </w:pPr>
      <w:r>
        <w:t xml:space="preserve">Escalation paths, audit requirements, and SLA obligations for all covered</w:t>
      </w:r>
      <w:r>
        <w:t xml:space="preserve"> </w:t>
      </w:r>
      <w:r>
        <w:t xml:space="preserve">operations.</w:t>
      </w:r>
    </w:p>
    <w:bookmarkEnd w:id="13"/>
    <w:bookmarkStart w:id="14" w:name="scope-what-this-guide-does-not-cover"/>
    <w:p>
      <w:pPr>
        <w:pStyle w:val="Heading3"/>
      </w:pPr>
      <w:r>
        <w:t xml:space="preserve">Scope — what this guide does NOT cover</w:t>
      </w:r>
    </w:p>
    <w:p>
      <w:pPr>
        <w:pStyle w:val="Compact"/>
        <w:numPr>
          <w:ilvl w:val="0"/>
          <w:numId w:val="1002"/>
        </w:numPr>
      </w:pPr>
      <w:r>
        <w:rPr>
          <w:b/>
          <w:bCs/>
        </w:rPr>
        <w:t xml:space="preserve">Global Administrator operations</w:t>
      </w:r>
      <w:r>
        <w:t xml:space="preserve"> </w:t>
      </w:r>
      <w:r>
        <w:t xml:space="preserve">— These are beyond Help Desk authority and</w:t>
      </w:r>
      <w:r>
        <w:t xml:space="preserve"> </w:t>
      </w:r>
      <w:r>
        <w:t xml:space="preserve">are not documented here.</w:t>
      </w:r>
    </w:p>
    <w:p>
      <w:pPr>
        <w:pStyle w:val="Compact"/>
        <w:numPr>
          <w:ilvl w:val="0"/>
          <w:numId w:val="1002"/>
        </w:numPr>
      </w:pPr>
      <w:r>
        <w:rPr>
          <w:b/>
          <w:bCs/>
        </w:rPr>
        <w:t xml:space="preserve">Admin Consent approval</w:t>
      </w:r>
      <w:r>
        <w:t xml:space="preserve"> </w:t>
      </w:r>
      <w:r>
        <w:t xml:space="preserve">— Help Desk may triage but never approve. Approval</w:t>
      </w:r>
      <w:r>
        <w:t xml:space="preserve"> </w:t>
      </w:r>
      <w:r>
        <w:t xml:space="preserve">authority and procedure are documented in Entra Governance Document 3.</w:t>
      </w:r>
    </w:p>
    <w:p>
      <w:pPr>
        <w:pStyle w:val="Compact"/>
        <w:numPr>
          <w:ilvl w:val="0"/>
          <w:numId w:val="1002"/>
        </w:numPr>
      </w:pPr>
      <w:r>
        <w:rPr>
          <w:b/>
          <w:bCs/>
        </w:rPr>
        <w:t xml:space="preserve">Conditional Access policy creation or modification</w:t>
      </w:r>
      <w:r>
        <w:t xml:space="preserve"> </w:t>
      </w:r>
      <w:r>
        <w:t xml:space="preserve">— Reserved for the</w:t>
      </w:r>
      <w:r>
        <w:t xml:space="preserve"> </w:t>
      </w:r>
      <w:r>
        <w:t xml:space="preserve">Security Administrator role under Security Operations oversight.</w:t>
      </w:r>
    </w:p>
    <w:p>
      <w:pPr>
        <w:pStyle w:val="Compact"/>
        <w:numPr>
          <w:ilvl w:val="0"/>
          <w:numId w:val="1002"/>
        </w:numPr>
      </w:pPr>
      <w:r>
        <w:rPr>
          <w:b/>
          <w:bCs/>
        </w:rPr>
        <w:t xml:space="preserve">Service Principal creation or management</w:t>
      </w:r>
      <w:r>
        <w:t xml:space="preserve"> </w:t>
      </w:r>
      <w:r>
        <w:t xml:space="preserve">— Reserved for Application Owners</w:t>
      </w:r>
      <w:r>
        <w:t xml:space="preserve"> </w:t>
      </w:r>
      <w:r>
        <w:t xml:space="preserve">and Identity Engineering.</w:t>
      </w:r>
    </w:p>
    <w:p>
      <w:pPr>
        <w:pStyle w:val="Compact"/>
        <w:numPr>
          <w:ilvl w:val="0"/>
          <w:numId w:val="1002"/>
        </w:numPr>
      </w:pPr>
      <w:r>
        <w:rPr>
          <w:b/>
          <w:bCs/>
        </w:rPr>
        <w:t xml:space="preserve">SAM platform administration</w:t>
      </w:r>
      <w:r>
        <w:t xml:space="preserve"> </w:t>
      </w:r>
      <w:r>
        <w:t xml:space="preserve">— SAM is a separate system governed under its</w:t>
      </w:r>
      <w:r>
        <w:t xml:space="preserve"> </w:t>
      </w:r>
      <w:r>
        <w:t xml:space="preserve">own administrative procedures.</w:t>
      </w:r>
    </w:p>
    <w:p>
      <w:pPr>
        <w:pStyle w:val="Compact"/>
        <w:numPr>
          <w:ilvl w:val="0"/>
          <w:numId w:val="1002"/>
        </w:numPr>
      </w:pPr>
      <w:r>
        <w:rPr>
          <w:b/>
          <w:bCs/>
        </w:rPr>
        <w:t xml:space="preserve">Entra ID Governance license features</w:t>
      </w:r>
      <w:r>
        <w:t xml:space="preserve"> </w:t>
      </w:r>
      <w:r>
        <w:t xml:space="preserve">(Access Packages, Entitlement</w:t>
      </w:r>
      <w:r>
        <w:t xml:space="preserve"> </w:t>
      </w:r>
      <w:r>
        <w:t xml:space="preserve">Management, etc.) beyond what is explicitly documented herein.</w:t>
      </w:r>
    </w:p>
    <w:p>
      <w:pPr>
        <w:pStyle w:val="Compact"/>
        <w:numPr>
          <w:ilvl w:val="0"/>
          <w:numId w:val="1002"/>
        </w:numPr>
      </w:pPr>
      <w:r>
        <w:rPr>
          <w:b/>
          <w:bCs/>
        </w:rPr>
        <w:t xml:space="preserve">Role assignment to other users or groups</w:t>
      </w:r>
      <w:r>
        <w:t xml:space="preserve"> </w:t>
      </w:r>
      <w:r>
        <w:t xml:space="preserve">— Help Desk may not assign or</w:t>
      </w:r>
      <w:r>
        <w:t xml:space="preserve"> </w:t>
      </w:r>
      <w:r>
        <w:t xml:space="preserve">remove Entra directory roles.</w:t>
      </w:r>
    </w:p>
    <w:bookmarkEnd w:id="14"/>
    <w:bookmarkStart w:id="15" w:name="applicability"/>
    <w:p>
      <w:pPr>
        <w:pStyle w:val="Heading3"/>
      </w:pPr>
      <w:r>
        <w:t xml:space="preserve">Applicability</w:t>
      </w:r>
    </w:p>
    <w:p>
      <w:pPr>
        <w:pStyle w:val="FirstParagraph"/>
      </w:pPr>
      <w:r>
        <w:t xml:space="preserve">This guide applies to all personnel occupying the</w:t>
      </w:r>
      <w:r>
        <w:t xml:space="preserve"> </w:t>
      </w:r>
      <w:r>
        <w:rPr>
          <w:b/>
          <w:bCs/>
        </w:rPr>
        <w:t xml:space="preserve">Help Desk Operator</w:t>
      </w:r>
      <w:r>
        <w:t xml:space="preserve"> </w:t>
      </w:r>
      <w:r>
        <w:t xml:space="preserve">function</w:t>
      </w:r>
      <w:r>
        <w:t xml:space="preserve"> </w:t>
      </w:r>
      <w:r>
        <w:t xml:space="preserve">within the agency’s IT organization, including contracted support staff</w:t>
      </w:r>
      <w:r>
        <w:t xml:space="preserve"> </w:t>
      </w:r>
      <w:r>
        <w:t xml:space="preserve">performing Help Desk duties under agency oversight. Help Desk Supervisors are</w:t>
      </w:r>
      <w:r>
        <w:t xml:space="preserve"> </w:t>
      </w:r>
      <w:r>
        <w:t xml:space="preserve">responsible for ensuring all personnel under their supervision have read,</w:t>
      </w:r>
      <w:r>
        <w:t xml:space="preserve"> </w:t>
      </w:r>
      <w:r>
        <w:t xml:space="preserve">acknowledged, and are operating in accordance with this guide. Acknowledgment</w:t>
      </w:r>
      <w:r>
        <w:t xml:space="preserve"> </w:t>
      </w:r>
      <w:r>
        <w:t xml:space="preserve">records shall be maintained in the agency’s personnel training system.</w:t>
      </w:r>
    </w:p>
    <w:bookmarkEnd w:id="15"/>
    <w:bookmarkEnd w:id="16"/>
    <w:bookmarkStart w:id="20" w:name="authority-boundaries"/>
    <w:p>
      <w:pPr>
        <w:pStyle w:val="Heading2"/>
      </w:pPr>
      <w:r>
        <w:t xml:space="preserve">Authority boundaries</w:t>
      </w:r>
    </w:p>
    <w:p>
      <w:pPr>
        <w:pStyle w:val="FirstParagraph"/>
      </w:pPr>
      <w:r>
        <w:t xml:space="preserve">The following table defines the precise boundary of Help Desk authority in</w:t>
      </w:r>
      <w:r>
        <w:t xml:space="preserve"> </w:t>
      </w:r>
      <w:r>
        <w:t xml:space="preserve">Microsoft Entra ID operations. This boundary is enforced by the</w:t>
      </w:r>
      <w:r>
        <w:t xml:space="preserve"> </w:t>
      </w:r>
      <w:r>
        <w:rPr>
          <w:b/>
          <w:bCs/>
        </w:rPr>
        <w:t xml:space="preserve">principle of</w:t>
      </w:r>
      <w:r>
        <w:rPr>
          <w:b/>
          <w:bCs/>
        </w:rPr>
        <w:t xml:space="preserve"> </w:t>
      </w:r>
      <w:r>
        <w:rPr>
          <w:b/>
          <w:bCs/>
        </w:rPr>
        <w:t xml:space="preserve">least privilege</w:t>
      </w:r>
      <w:r>
        <w:t xml:space="preserve">, PIM-gated role elevation, and SAM-originated approval chains.</w:t>
      </w:r>
      <w:r>
        <w:t xml:space="preserve"> </w:t>
      </w:r>
      <w:r>
        <w:t xml:space="preserve">No action outside the</w:t>
      </w:r>
      <w:r>
        <w:t xml:space="preserve"> </w:t>
      </w:r>
      <w:r>
        <w:t xml:space="preserve">“Authorized”</w:t>
      </w:r>
      <w:r>
        <w:t xml:space="preserve"> </w:t>
      </w:r>
      <w:r>
        <w:t xml:space="preserve">column may be performed by Help Desk personnel</w:t>
      </w:r>
      <w:r>
        <w:t xml:space="preserve"> </w:t>
      </w:r>
      <w:r>
        <w:t xml:space="preserve">regardless of who requests it.</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rPr>
                <w:b/>
                <w:bCs/>
              </w:rPr>
              <w:t xml:space="preserve">✓ Help Desk IS authorized to</w:t>
            </w:r>
          </w:p>
        </w:tc>
        <w:tc>
          <w:tcPr/>
          <w:p>
            <w:pPr>
              <w:pStyle w:val="Compact"/>
            </w:pPr>
            <w:r>
              <w:rPr>
                <w:b/>
                <w:bCs/>
              </w:rPr>
              <w:t xml:space="preserve">✗ Help Desk is NOT authorized to</w:t>
            </w:r>
          </w:p>
        </w:tc>
      </w:tr>
      <w:tr>
        <w:tc>
          <w:tcPr/>
          <w:p>
            <w:pPr>
              <w:pStyle w:val="Compact"/>
            </w:pPr>
            <w:r>
              <w:t xml:space="preserve">Assign an Entra security group to an Enterprise Application, after SAM approval and ServiceNow RITM assignment.</w:t>
            </w:r>
          </w:p>
        </w:tc>
        <w:tc>
          <w:tcPr/>
          <w:p>
            <w:pPr>
              <w:pStyle w:val="Compact"/>
            </w:pPr>
            <w:r>
              <w:t xml:space="preserve">Approve Admin Consent grants for Enterprise Applications — under any circumstances.</w:t>
            </w:r>
          </w:p>
        </w:tc>
      </w:tr>
      <w:tr>
        <w:tc>
          <w:tcPr/>
          <w:p>
            <w:pPr>
              <w:pStyle w:val="Compact"/>
            </w:pPr>
            <w:r>
              <w:t xml:space="preserve">Remove an Entra group from an Enterprise Application, after SAM-originated RITM.</w:t>
            </w:r>
          </w:p>
        </w:tc>
        <w:tc>
          <w:tcPr/>
          <w:p>
            <w:pPr>
              <w:pStyle w:val="Compact"/>
            </w:pPr>
            <w:r>
              <w:t xml:space="preserve">Create, modify, or delete Service Principals or App Registrations.</w:t>
            </w:r>
          </w:p>
        </w:tc>
      </w:tr>
      <w:tr>
        <w:tc>
          <w:tcPr/>
          <w:p>
            <w:pPr>
              <w:pStyle w:val="Compact"/>
            </w:pPr>
            <w:r>
              <w:t xml:space="preserve">Reset a user’s ImmutableID attribute using Hybrid Identity Administrator role via PowerShell, after IGO-approved RITM.</w:t>
            </w:r>
          </w:p>
        </w:tc>
        <w:tc>
          <w:tcPr/>
          <w:p>
            <w:pPr>
              <w:pStyle w:val="Compact"/>
            </w:pPr>
            <w:r>
              <w:t xml:space="preserve">Assign or remove Entra directory roles from any user, group, or service principal.</w:t>
            </w:r>
          </w:p>
        </w:tc>
      </w:tr>
      <w:tr>
        <w:tc>
          <w:tcPr/>
          <w:p>
            <w:pPr>
              <w:pStyle w:val="Compact"/>
            </w:pPr>
            <w:r>
              <w:t xml:space="preserve">Reset a user’s MFA authentication methods using Authentication Administrator role (optional, where assigned).</w:t>
            </w:r>
          </w:p>
        </w:tc>
        <w:tc>
          <w:tcPr/>
          <w:p>
            <w:pPr>
              <w:pStyle w:val="Compact"/>
            </w:pPr>
            <w:r>
              <w:t xml:space="preserve">Create, modify, or delete Conditional Access policies.</w:t>
            </w:r>
          </w:p>
        </w:tc>
      </w:tr>
      <w:tr>
        <w:tc>
          <w:tcPr/>
          <w:p>
            <w:pPr>
              <w:pStyle w:val="Compact"/>
            </w:pPr>
            <w:r>
              <w:t xml:space="preserve">Perform password resets using User Administrator role (where assigned), subject to supervisor approval constraints.</w:t>
            </w:r>
          </w:p>
        </w:tc>
        <w:tc>
          <w:tcPr/>
          <w:p>
            <w:pPr>
              <w:pStyle w:val="Compact"/>
            </w:pPr>
            <w:r>
              <w:t xml:space="preserve">Modify Entra ID Connect (hybrid sync) configuration or sync rules.</w:t>
            </w:r>
          </w:p>
        </w:tc>
      </w:tr>
      <w:tr>
        <w:tc>
          <w:tcPr/>
          <w:p>
            <w:pPr>
              <w:pStyle w:val="Compact"/>
            </w:pPr>
            <w:r>
              <w:t xml:space="preserve">Triage Admin Consent notifications — verify, log, and escalate to Application Owner and IGO.</w:t>
            </w:r>
          </w:p>
        </w:tc>
        <w:tc>
          <w:tcPr/>
          <w:p>
            <w:pPr>
              <w:pStyle w:val="Compact"/>
            </w:pPr>
            <w:r>
              <w:t xml:space="preserve">Grant OAuth permissions or delegated permissions to any application.</w:t>
            </w:r>
          </w:p>
        </w:tc>
      </w:tr>
      <w:tr>
        <w:tc>
          <w:tcPr/>
          <w:p>
            <w:pPr>
              <w:pStyle w:val="Compact"/>
            </w:pPr>
            <w:r>
              <w:t xml:space="preserve">Trigger OneDrive provisioning for a licensed user via M365 Admin Center.</w:t>
            </w:r>
          </w:p>
        </w:tc>
        <w:tc>
          <w:tcPr/>
          <w:p>
            <w:pPr>
              <w:pStyle w:val="Compact"/>
            </w:pPr>
            <w:r>
              <w:t xml:space="preserve">Modify license assignments except when authorized via a SAM-originated RITM with Departmental Owner approval.</w:t>
            </w:r>
          </w:p>
        </w:tc>
      </w:tr>
      <w:tr>
        <w:tc>
          <w:tcPr/>
          <w:p>
            <w:pPr>
              <w:pStyle w:val="Compact"/>
            </w:pPr>
            <w:r>
              <w:t xml:space="preserve">Check Entra Sign-in Logs and Audit Logs for diagnostic purposes during triage.</w:t>
            </w:r>
          </w:p>
        </w:tc>
        <w:tc>
          <w:tcPr/>
          <w:p>
            <w:pPr>
              <w:pStyle w:val="Compact"/>
            </w:pPr>
            <w:r>
              <w:t xml:space="preserve">Export, copy, or retain Entra audit log data outside approved SIEM or logging systems.</w:t>
            </w:r>
          </w:p>
        </w:tc>
      </w:tr>
      <w:tr>
        <w:tc>
          <w:tcPr/>
          <w:p>
            <w:pPr>
              <w:pStyle w:val="Compact"/>
            </w:pPr>
            <w:r>
              <w:t xml:space="preserve">Check device compliance status and Entra Join status for OneDrive and access triage.</w:t>
            </w:r>
          </w:p>
        </w:tc>
        <w:tc>
          <w:tcPr/>
          <w:p>
            <w:pPr>
              <w:pStyle w:val="Compact"/>
            </w:pPr>
            <w:r>
              <w:t xml:space="preserve">Delete or disable user accounts except via explicit, multi-approved SAM lifecycle workflow.</w:t>
            </w:r>
          </w:p>
        </w:tc>
      </w:tr>
      <w:tr>
        <w:tc>
          <w:tcPr/>
          <w:p>
            <w:pPr>
              <w:pStyle w:val="Compact"/>
            </w:pPr>
            <w:r>
              <w:t xml:space="preserve">Execute PIM elevation (role activation) for approved roles via the PAG, with written justification entered in PIM request.</w:t>
            </w:r>
          </w:p>
        </w:tc>
        <w:tc>
          <w:tcPr/>
          <w:p>
            <w:pPr>
              <w:pStyle w:val="Compact"/>
            </w:pPr>
            <w:r>
              <w:t xml:space="preserve">Maintain standing (persistent) active role assignments. All privileged access is time-bound and eligible only.</w:t>
            </w:r>
          </w:p>
        </w:tc>
      </w:tr>
      <w:tr>
        <w:tc>
          <w:tcPr/>
          <w:p>
            <w:pPr>
              <w:pStyle w:val="Compact"/>
            </w:pPr>
            <w:r>
              <w:t xml:space="preserve">Document all actions in the associated ServiceNow ticket before closing the RITM.</w:t>
            </w:r>
          </w:p>
        </w:tc>
        <w:tc>
          <w:tcPr/>
          <w:p>
            <w:pPr>
              <w:pStyle w:val="Compact"/>
            </w:pPr>
            <w:r>
              <w:t xml:space="preserve">Perform any Entra operation without a corresponding ServiceNow ticket in</w:t>
            </w:r>
            <w:r>
              <w:t xml:space="preserve"> </w:t>
            </w:r>
            <w:r>
              <w:t xml:space="preserve">“Assigned”</w:t>
            </w:r>
            <w:r>
              <w:t xml:space="preserve"> </w:t>
            </w:r>
            <w:r>
              <w:t xml:space="preserve">status.</w:t>
            </w:r>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18" name="Picture"/>
                  <a:graphic>
                    <a:graphicData uri="http://schemas.openxmlformats.org/drawingml/2006/picture">
                      <pic:pic>
                        <pic:nvPicPr>
                          <pic:cNvPr descr="/opt/quarto/share/formats/docx/warning.png" id="19"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Prohibited action</w:t>
            </w:r>
          </w:p>
        </w:tc>
      </w:tr>
      <w:tr>
        <w:trPr>
          <w:cantSplit/>
        </w:trPr>
        <w:tc>
          <w:tcPr>
            <w:tcMar>
              <w:top w:w="108" w:type="dxa"/>
              <w:bottom w:w="108" w:type="dxa"/>
            </w:tcMar>
          </w:tcPr>
          <w:p>
            <w:pPr>
              <w:pStyle w:val="BodyText"/>
            </w:pPr>
            <w:pPr>
              <w:spacing w:before="16" w:after="16"/>
            </w:pPr>
            <w:r>
              <w:rPr>
                <w:b/>
                <w:bCs/>
              </w:rPr>
              <w:t xml:space="preserve">Help Desk personnel may NEVER approve Admin Consent grants for Enterprise</w:t>
            </w:r>
            <w:r>
              <w:rPr>
                <w:b/>
                <w:bCs/>
              </w:rPr>
              <w:t xml:space="preserve"> </w:t>
            </w:r>
            <w:r>
              <w:rPr>
                <w:b/>
                <w:bCs/>
              </w:rPr>
              <w:t xml:space="preserve">Applications, regardless of the source of the request (email, ticket, verbal).</w:t>
            </w:r>
            <w:r>
              <w:t xml:space="preserve"> </w:t>
            </w:r>
            <w:r>
              <w:t xml:space="preserve">Admin Consent approval authority is reserved exclusively for the</w:t>
            </w:r>
            <w:r>
              <w:t xml:space="preserve"> </w:t>
            </w:r>
            <w:r>
              <w:rPr>
                <w:b/>
                <w:bCs/>
              </w:rPr>
              <w:t xml:space="preserve">Identity</w:t>
            </w:r>
            <w:r>
              <w:rPr>
                <w:b/>
                <w:bCs/>
              </w:rPr>
              <w:t xml:space="preserve"> </w:t>
            </w:r>
            <w:r>
              <w:rPr>
                <w:b/>
                <w:bCs/>
              </w:rPr>
              <w:t xml:space="preserve">Governance Officer (IGO)</w:t>
            </w:r>
            <w:r>
              <w:t xml:space="preserve"> </w:t>
            </w:r>
            <w:r>
              <w:t xml:space="preserve">or</w:t>
            </w:r>
            <w:r>
              <w:t xml:space="preserve"> </w:t>
            </w:r>
            <w:r>
              <w:rPr>
                <w:b/>
                <w:bCs/>
              </w:rPr>
              <w:t xml:space="preserve">Global Administrator</w:t>
            </w:r>
            <w:r>
              <w:t xml:space="preserve"> </w:t>
            </w:r>
            <w:r>
              <w:t xml:space="preserve">acting under IGO direction.</w:t>
            </w:r>
            <w:r>
              <w:t xml:space="preserve"> </w:t>
            </w:r>
            <w:r>
              <w:t xml:space="preserve">Help Desk role is</w:t>
            </w:r>
            <w:r>
              <w:t xml:space="preserve"> </w:t>
            </w:r>
            <w:r>
              <w:rPr>
                <w:b/>
                <w:bCs/>
              </w:rPr>
              <w:t xml:space="preserve">triage and escalation only</w:t>
            </w:r>
            <w:r>
              <w:t xml:space="preserve">. Any technician who approves an</w:t>
            </w:r>
            <w:r>
              <w:t xml:space="preserve"> </w:t>
            </w:r>
            <w:r>
              <w:t xml:space="preserve">Admin Consent grant outside this chain will be considered to have acted outside</w:t>
            </w:r>
            <w:r>
              <w:t xml:space="preserve"> </w:t>
            </w:r>
            <w:r>
              <w:t xml:space="preserve">their authority and will be subject to disciplinary and security review</w:t>
            </w:r>
            <w:r>
              <w:t xml:space="preserve"> </w:t>
            </w:r>
            <w:r>
              <w:t xml:space="preserve">procedures.</w:t>
            </w:r>
          </w:p>
          <w:p/>
        </w:tc>
      </w:tr>
    </w:tbl>
    <w:bookmarkEnd w:id="20"/>
    <w:bookmarkStart w:id="30" w:name="X53b6e27062af65728efd784ce140ad1ecfb4924"/>
    <w:p>
      <w:pPr>
        <w:pStyle w:val="Heading2"/>
      </w:pPr>
      <w:r>
        <w:t xml:space="preserve">Help Desk Privileged Access Group (PAG) design</w:t>
      </w:r>
    </w:p>
    <w:bookmarkStart w:id="21" w:name="Xe8aa0346a11a24976b9e106773977e0bd6326df"/>
    <w:p>
      <w:pPr>
        <w:pStyle w:val="Heading3"/>
      </w:pPr>
      <w:r>
        <w:t xml:space="preserve">How this replaces OU-based helpdesk delegation</w:t>
      </w:r>
    </w:p>
    <w:p>
      <w:pPr>
        <w:pStyle w:val="FirstParagraph"/>
      </w:pPr>
      <w:r>
        <w:t xml:space="preserve">In Active Directory, helpdesk delegation was scoped by placing the target users in an OU and granting rights on that OU — implicit containment. Entra ID has no OU tree. The equivalent is an</w:t>
      </w:r>
      <w:r>
        <w:t xml:space="preserve"> </w:t>
      </w:r>
      <w:r>
        <w:rPr>
          <w:b/>
          <w:bCs/>
        </w:rPr>
        <w:t xml:space="preserve">Administrative Unit (AU)</w:t>
      </w:r>
      <w:r>
        <w:t xml:space="preserve"> </w:t>
      </w:r>
      <w:r>
        <w:t xml:space="preserve">combined with a scoped Entra role:</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AD model</w:t>
            </w:r>
          </w:p>
        </w:tc>
        <w:tc>
          <w:tcPr/>
          <w:p>
            <w:pPr>
              <w:pStyle w:val="Compact"/>
            </w:pPr>
            <w:r>
              <w:t xml:space="preserve">Entra equivalent in this guide</w:t>
            </w:r>
          </w:p>
        </w:tc>
      </w:tr>
      <w:tr>
        <w:tc>
          <w:tcPr/>
          <w:p>
            <w:pPr>
              <w:pStyle w:val="Compact"/>
            </w:pPr>
            <w:r>
              <w:t xml:space="preserve">Helpdesk delegated on</w:t>
            </w:r>
            <w:r>
              <w:t xml:space="preserve"> </w:t>
            </w:r>
            <w:r>
              <w:rPr>
                <w:rStyle w:val="VerbatimChar"/>
              </w:rPr>
              <w:t xml:space="preserve">OU=Agency-Users</w:t>
            </w:r>
          </w:p>
        </w:tc>
        <w:tc>
          <w:tcPr/>
          <w:p>
            <w:pPr>
              <w:pStyle w:val="Compact"/>
            </w:pPr>
            <w:r>
              <w:t xml:space="preserve">Authentication Administrator scoped to agency AU</w:t>
            </w:r>
          </w:p>
        </w:tc>
      </w:tr>
      <w:tr>
        <w:tc>
          <w:tcPr/>
          <w:p>
            <w:pPr>
              <w:pStyle w:val="Compact"/>
            </w:pPr>
            <w:r>
              <w:t xml:space="preserve">Password reset rights on</w:t>
            </w:r>
            <w:r>
              <w:t xml:space="preserve"> </w:t>
            </w:r>
            <w:r>
              <w:rPr>
                <w:rStyle w:val="VerbatimChar"/>
              </w:rPr>
              <w:t xml:space="preserve">OU=Field-Offices</w:t>
            </w:r>
          </w:p>
        </w:tc>
        <w:tc>
          <w:tcPr/>
          <w:p>
            <w:pPr>
              <w:pStyle w:val="Compact"/>
            </w:pPr>
            <w:r>
              <w:t xml:space="preserve">Authentication Administrator scoped to field-office AU (attribute rule)</w:t>
            </w:r>
          </w:p>
        </w:tc>
      </w:tr>
      <w:tr>
        <w:tc>
          <w:tcPr/>
          <w:p>
            <w:pPr>
              <w:pStyle w:val="Compact"/>
            </w:pPr>
            <w:r>
              <w:t xml:space="preserve">OU ACL giving group membership write</w:t>
            </w:r>
          </w:p>
        </w:tc>
        <w:tc>
          <w:tcPr/>
          <w:p>
            <w:pPr>
              <w:pStyle w:val="Compact"/>
            </w:pPr>
            <w:r>
              <w:t xml:space="preserve">Groups Administrator scoped to department AU</w:t>
            </w:r>
          </w:p>
        </w:tc>
      </w:tr>
      <w:tr>
        <w:tc>
          <w:tcPr/>
          <w:p>
            <w:pPr>
              <w:pStyle w:val="Compact"/>
            </w:pPr>
            <w:r>
              <w:t xml:space="preserve">Standing delegated admin (persistent)</w:t>
            </w:r>
          </w:p>
        </w:tc>
        <w:tc>
          <w:tcPr/>
          <w:p>
            <w:pPr>
              <w:pStyle w:val="Compact"/>
            </w:pPr>
            <w:r>
              <w:t xml:space="preserve">PIM-eligible assignment — never standing active</w:t>
            </w:r>
          </w:p>
        </w:tc>
      </w:tr>
    </w:tbl>
    <w:p>
      <w:pPr>
        <w:pStyle w:val="BodyText"/>
      </w:pPr>
      <w:r>
        <w:t xml:space="preserve">AU membership is driven by attribute predicates (e.g.,</w:t>
      </w:r>
      <w:r>
        <w:t xml:space="preserve"> </w:t>
      </w:r>
      <w:r>
        <w:rPr>
          <w:rStyle w:val="VerbatimChar"/>
        </w:rPr>
        <w:t xml:space="preserve">extensionAttribute2 -eq "IT"</w:t>
      </w:r>
      <w:r>
        <w:t xml:space="preserve">), so scope tracks org structure automatically without manual OU management. The PAG and PIM configuration below operationalize the role-binding side of this model.</w:t>
      </w:r>
    </w:p>
    <w:bookmarkEnd w:id="21"/>
    <w:bookmarkStart w:id="22" w:name="Xed94ec026c1902350fff267ef884d92305876fa"/>
    <w:p>
      <w:pPr>
        <w:pStyle w:val="Heading3"/>
      </w:pPr>
      <w:r>
        <w:t xml:space="preserve">Why group-based role assignment instead of individual role assignments</w:t>
      </w:r>
    </w:p>
    <w:p>
      <w:pPr>
        <w:pStyle w:val="FirstParagraph"/>
      </w:pPr>
      <w:r>
        <w:t xml:space="preserve">Microsoft Entra ID permits Entra directory roles to be assigned directly to</w:t>
      </w:r>
      <w:r>
        <w:t xml:space="preserve"> </w:t>
      </w:r>
      <w:r>
        <w:t xml:space="preserve">individual users. However, for Help Desk operations, direct individual role</w:t>
      </w:r>
      <w:r>
        <w:t xml:space="preserve"> </w:t>
      </w:r>
      <w:r>
        <w:t xml:space="preserve">assignments create unacceptable governance risk: they cannot be consistently</w:t>
      </w:r>
      <w:r>
        <w:t xml:space="preserve"> </w:t>
      </w:r>
      <w:r>
        <w:t xml:space="preserve">time-bound, they cannot enforce approval workflows before elevation, they are more</w:t>
      </w:r>
      <w:r>
        <w:t xml:space="preserve"> </w:t>
      </w:r>
      <w:r>
        <w:t xml:space="preserve">difficult to audit consistently, and they increase the attack surface in the event</w:t>
      </w:r>
      <w:r>
        <w:t xml:space="preserve"> </w:t>
      </w:r>
      <w:r>
        <w:t xml:space="preserve">of account compromise. The agency’s identity governance model therefore</w:t>
      </w:r>
      <w:r>
        <w:t xml:space="preserve"> </w:t>
      </w:r>
      <w:r>
        <w:t xml:space="preserve">implements a</w:t>
      </w:r>
      <w:r>
        <w:t xml:space="preserve"> </w:t>
      </w:r>
      <w:r>
        <w:rPr>
          <w:b/>
          <w:bCs/>
        </w:rPr>
        <w:t xml:space="preserve">Privileged Access Group (PAG)</w:t>
      </w:r>
      <w:r>
        <w:t xml:space="preserve"> </w:t>
      </w:r>
      <w:r>
        <w:t xml:space="preserve">as the sole mechanism for granting</w:t>
      </w:r>
      <w:r>
        <w:t xml:space="preserve"> </w:t>
      </w:r>
      <w:r>
        <w:t xml:space="preserve">Help Desk personnel access to elevated Entra roles.</w:t>
      </w:r>
    </w:p>
    <w:p>
      <w:pPr>
        <w:pStyle w:val="BodyText"/>
      </w:pPr>
      <w:r>
        <w:t xml:space="preserve">Under the PAG model:</w:t>
      </w:r>
    </w:p>
    <w:p>
      <w:pPr>
        <w:pStyle w:val="Compact"/>
        <w:numPr>
          <w:ilvl w:val="0"/>
          <w:numId w:val="1003"/>
        </w:numPr>
      </w:pPr>
      <w:r>
        <w:t xml:space="preserve">Entra directory roles (e.g., Application Administrator, Hybrid Identity</w:t>
      </w:r>
      <w:r>
        <w:t xml:space="preserve"> </w:t>
      </w:r>
      <w:r>
        <w:t xml:space="preserve">Administrator) are assigned to the PAG,</w:t>
      </w:r>
      <w:r>
        <w:t xml:space="preserve"> </w:t>
      </w:r>
      <w:r>
        <w:rPr>
          <w:b/>
          <w:bCs/>
        </w:rPr>
        <w:t xml:space="preserve">not to individual users</w:t>
      </w:r>
      <w:r>
        <w:t xml:space="preserve">.</w:t>
      </w:r>
    </w:p>
    <w:p>
      <w:pPr>
        <w:pStyle w:val="Compact"/>
        <w:numPr>
          <w:ilvl w:val="0"/>
          <w:numId w:val="1003"/>
        </w:numPr>
      </w:pPr>
      <w:r>
        <w:t xml:space="preserve">Help Desk technicians are members of the PAG with</w:t>
      </w:r>
      <w:r>
        <w:t xml:space="preserve"> </w:t>
      </w:r>
      <w:r>
        <w:rPr>
          <w:b/>
          <w:bCs/>
        </w:rPr>
        <w:t xml:space="preserve">eligible</w:t>
      </w:r>
      <w:r>
        <w:t xml:space="preserve"> </w:t>
      </w:r>
      <w:r>
        <w:t xml:space="preserve">assignment — they</w:t>
      </w:r>
      <w:r>
        <w:t xml:space="preserve"> </w:t>
      </w:r>
      <w:r>
        <w:t xml:space="preserve">do not hold the roles actively until they explicitly activate via PIM.</w:t>
      </w:r>
    </w:p>
    <w:p>
      <w:pPr>
        <w:pStyle w:val="Compact"/>
        <w:numPr>
          <w:ilvl w:val="0"/>
          <w:numId w:val="1003"/>
        </w:numPr>
      </w:pPr>
      <w:r>
        <w:t xml:space="preserve">Every role activation is individually logged, requires a written justification,</w:t>
      </w:r>
      <w:r>
        <w:t xml:space="preserve"> </w:t>
      </w:r>
      <w:r>
        <w:t xml:space="preserve">and is time-bound (maximum session defined in the PIM configuration below).</w:t>
      </w:r>
    </w:p>
    <w:p>
      <w:pPr>
        <w:pStyle w:val="Compact"/>
        <w:numPr>
          <w:ilvl w:val="0"/>
          <w:numId w:val="1003"/>
        </w:numPr>
      </w:pPr>
      <w:r>
        <w:t xml:space="preserve">Adding or removing a technician from the PAG (onboarding/offboarding) is itself a</w:t>
      </w:r>
      <w:r>
        <w:t xml:space="preserve"> </w:t>
      </w:r>
      <w:r>
        <w:t xml:space="preserve">governed, approver-controlled operation in PIM and SAM.</w:t>
      </w:r>
    </w:p>
    <w:bookmarkEnd w:id="22"/>
    <w:bookmarkStart w:id="25" w:name="pag-naming-convention"/>
    <w:p>
      <w:pPr>
        <w:pStyle w:val="Heading3"/>
      </w:pPr>
      <w:r>
        <w:t xml:space="preserve">PAG naming convention</w:t>
      </w:r>
    </w:p>
    <w:p>
      <w:pPr>
        <w:pStyle w:val="FirstParagraph"/>
      </w:pPr>
      <w:r>
        <w:t xml:space="preserve">The agency’s Privileged Access Group for Help Desk Entra operations shall be named</w:t>
      </w:r>
      <w:r>
        <w:t xml:space="preserve"> </w:t>
      </w:r>
      <w:r>
        <w:t xml:space="preserve">according to one of the following approved conventions, as adopted by the Identity</w:t>
      </w:r>
      <w:r>
        <w:t xml:space="preserve"> </w:t>
      </w:r>
      <w:r>
        <w:t xml:space="preserve">Engineering team during initial deployment:</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Naming option</w:t>
            </w:r>
          </w:p>
        </w:tc>
        <w:tc>
          <w:tcPr/>
          <w:p>
            <w:pPr>
              <w:pStyle w:val="Compact"/>
            </w:pPr>
            <w:r>
              <w:rPr>
                <w:b/>
                <w:bCs/>
              </w:rPr>
              <w:t xml:space="preserve">Group display name</w:t>
            </w:r>
          </w:p>
        </w:tc>
        <w:tc>
          <w:tcPr/>
          <w:p>
            <w:pPr>
              <w:pStyle w:val="Compact"/>
            </w:pPr>
            <w:r>
              <w:rPr>
                <w:b/>
                <w:bCs/>
              </w:rPr>
              <w:t xml:space="preserve">Group type</w:t>
            </w:r>
          </w:p>
        </w:tc>
        <w:tc>
          <w:tcPr/>
          <w:p>
            <w:pPr>
              <w:pStyle w:val="Compact"/>
            </w:pPr>
            <w:r>
              <w:rPr>
                <w:b/>
                <w:bCs/>
              </w:rPr>
              <w:t xml:space="preserve">Use case</w:t>
            </w:r>
          </w:p>
        </w:tc>
      </w:tr>
      <w:tr>
        <w:tc>
          <w:tcPr/>
          <w:p>
            <w:pPr>
              <w:pStyle w:val="Compact"/>
            </w:pPr>
            <w:r>
              <w:t xml:space="preserve">Option A (Recommended)</w:t>
            </w:r>
          </w:p>
        </w:tc>
        <w:tc>
          <w:tcPr/>
          <w:p>
            <w:pPr>
              <w:pStyle w:val="Compact"/>
            </w:pPr>
            <w:r>
              <w:rPr>
                <w:b/>
                <w:bCs/>
              </w:rPr>
              <w:t xml:space="preserve">Entra-HelpDesk-Operators</w:t>
            </w:r>
          </w:p>
        </w:tc>
        <w:tc>
          <w:tcPr/>
          <w:p>
            <w:pPr>
              <w:pStyle w:val="Compact"/>
            </w:pPr>
            <w:r>
              <w:t xml:space="preserve">Security Group, Role-Assignable</w:t>
            </w:r>
          </w:p>
        </w:tc>
        <w:tc>
          <w:tcPr/>
          <w:p>
            <w:pPr>
              <w:pStyle w:val="Compact"/>
            </w:pPr>
            <w:r>
              <w:t xml:space="preserve">Standard agencies where IT is a single function</w:t>
            </w:r>
          </w:p>
        </w:tc>
      </w:tr>
      <w:tr>
        <w:tc>
          <w:tcPr/>
          <w:p>
            <w:pPr>
              <w:pStyle w:val="Compact"/>
            </w:pPr>
            <w:r>
              <w:t xml:space="preserve">Option B</w:t>
            </w:r>
          </w:p>
        </w:tc>
        <w:tc>
          <w:tcPr/>
          <w:p>
            <w:pPr>
              <w:pStyle w:val="Compact"/>
            </w:pPr>
            <w:r>
              <w:rPr>
                <w:b/>
                <w:bCs/>
              </w:rPr>
              <w:t xml:space="preserve">IDM-HelpDesk-Operations</w:t>
            </w:r>
          </w:p>
        </w:tc>
        <w:tc>
          <w:tcPr/>
          <w:p>
            <w:pPr>
              <w:pStyle w:val="Compact"/>
            </w:pPr>
            <w:r>
              <w:t xml:space="preserve">Security Group, Role-Assignable</w:t>
            </w:r>
          </w:p>
        </w:tc>
        <w:tc>
          <w:tcPr/>
          <w:p>
            <w:pPr>
              <w:pStyle w:val="Compact"/>
            </w:pPr>
            <w:r>
              <w:t xml:space="preserve">Agencies with a separate Identity Management (IDM) function within IT</w:t>
            </w:r>
          </w:p>
        </w:tc>
      </w:tr>
    </w:tbl>
    <w:p>
      <w:pPr>
        <w:pStyle w:val="BodyText"/>
      </w:pPr>
      <w:r>
        <w:t xml:space="preserve">The group</w:t>
      </w:r>
      <w:r>
        <w:t xml:space="preserve"> </w:t>
      </w:r>
      <w:r>
        <w:rPr>
          <w:b/>
          <w:bCs/>
        </w:rPr>
        <w:t xml:space="preserve">must</w:t>
      </w:r>
      <w:r>
        <w:t xml:space="preserve"> </w:t>
      </w:r>
      <w:r>
        <w:t xml:space="preserve">be created as a</w:t>
      </w:r>
      <w:r>
        <w:t xml:space="preserve"> </w:t>
      </w:r>
      <w:r>
        <w:rPr>
          <w:b/>
          <w:bCs/>
        </w:rPr>
        <w:t xml:space="preserve">Role-Assignable Security Group</w:t>
      </w:r>
      <w:r>
        <w:t xml:space="preserve"> </w:t>
      </w:r>
      <w:r>
        <w:t xml:space="preserve">in Entra ID.</w:t>
      </w:r>
      <w:r>
        <w:t xml:space="preserve"> </w:t>
      </w:r>
      <w:r>
        <w:t xml:space="preserve">Standard security groups and Microsoft 365 Groups cannot be used for PIM-governed</w:t>
      </w:r>
      <w:r>
        <w:t xml:space="preserve"> </w:t>
      </w:r>
      <w:r>
        <w:t xml:space="preserve">role assignment. Group creation is performed by Identity Engineering, not by Help</w:t>
      </w:r>
      <w:r>
        <w:t xml:space="preserve"> </w:t>
      </w:r>
      <w:r>
        <w:t xml:space="preserve">Desk.</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23" name="Picture"/>
                  <a:graphic>
                    <a:graphicData uri="http://schemas.openxmlformats.org/drawingml/2006/picture">
                      <pic:pic>
                        <pic:nvPicPr>
                          <pic:cNvPr descr="/opt/quarto/share/formats/docx/note.png" id="24"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Note</w:t>
            </w:r>
          </w:p>
        </w:tc>
      </w:tr>
      <w:tr>
        <w:trPr>
          <w:cantSplit/>
        </w:trPr>
        <w:tc>
          <w:tcPr>
            <w:tcMar>
              <w:top w:w="108" w:type="dxa"/>
              <w:bottom w:w="108" w:type="dxa"/>
            </w:tcMar>
          </w:tcPr>
          <w:p>
            <w:pPr>
              <w:pStyle w:val="BodyText"/>
            </w:pPr>
            <w:pPr>
              <w:spacing w:before="16" w:after="16"/>
            </w:pPr>
            <w:r>
              <w:t xml:space="preserve">Role-assignable groups in Entra ID are a premium feature requiring Entra ID P2</w:t>
            </w:r>
            <w:r>
              <w:t xml:space="preserve"> </w:t>
            </w:r>
            <w:r>
              <w:t xml:space="preserve">licensing (or Microsoft Entra ID Governance). Confirm licensing is in place with</w:t>
            </w:r>
            <w:r>
              <w:t xml:space="preserve"> </w:t>
            </w:r>
            <w:r>
              <w:t xml:space="preserve">Identity Engineering before PAG deployment.</w:t>
            </w:r>
          </w:p>
          <w:p/>
        </w:tc>
      </w:tr>
    </w:tbl>
    <w:bookmarkEnd w:id="25"/>
    <w:bookmarkStart w:id="26" w:name="pim-configuration-eligible-not-active"/>
    <w:p>
      <w:pPr>
        <w:pStyle w:val="Heading3"/>
      </w:pPr>
      <w:r>
        <w:t xml:space="preserve">PIM configuration — eligible, not active</w:t>
      </w:r>
    </w:p>
    <w:p>
      <w:pPr>
        <w:pStyle w:val="FirstParagraph"/>
      </w:pPr>
      <w:r>
        <w:t xml:space="preserve">All role assignments within the PAG are configured as</w:t>
      </w:r>
      <w:r>
        <w:t xml:space="preserve"> </w:t>
      </w:r>
      <w:r>
        <w:rPr>
          <w:b/>
          <w:bCs/>
        </w:rPr>
        <w:t xml:space="preserve">Eligible</w:t>
      </w:r>
      <w:r>
        <w:t xml:space="preserve"> </w:t>
      </w:r>
      <w:r>
        <w:t xml:space="preserve">in Microsoft</w:t>
      </w:r>
      <w:r>
        <w:t xml:space="preserve"> </w:t>
      </w:r>
      <w:r>
        <w:t xml:space="preserve">Entra Privileged Identity Management (PIM). Under no circumstances shall Help Desk</w:t>
      </w:r>
      <w:r>
        <w:t xml:space="preserve"> </w:t>
      </w:r>
      <w:r>
        <w:t xml:space="preserve">personnel hold</w:t>
      </w:r>
      <w:r>
        <w:t xml:space="preserve"> </w:t>
      </w:r>
      <w:r>
        <w:rPr>
          <w:b/>
          <w:bCs/>
        </w:rPr>
        <w:t xml:space="preserve">Active (standing)</w:t>
      </w:r>
      <w:r>
        <w:t xml:space="preserve"> </w:t>
      </w:r>
      <w:r>
        <w:t xml:space="preserve">role assignments for Application</w:t>
      </w:r>
      <w:r>
        <w:t xml:space="preserve"> </w:t>
      </w:r>
      <w:r>
        <w:t xml:space="preserve">Administrator, Hybrid Identity Administrator, Authentication Administrator, or User</w:t>
      </w:r>
      <w:r>
        <w:t xml:space="preserve"> </w:t>
      </w:r>
      <w:r>
        <w:t xml:space="preserve">Administrator. The following PIM configuration settings apply: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PIM setting</w:t>
            </w:r>
          </w:p>
        </w:tc>
        <w:tc>
          <w:tcPr/>
          <w:p>
            <w:pPr>
              <w:pStyle w:val="Compact"/>
            </w:pPr>
            <w:r>
              <w:rPr>
                <w:b/>
                <w:bCs/>
              </w:rPr>
              <w:t xml:space="preserve">Required value</w:t>
            </w:r>
          </w:p>
        </w:tc>
        <w:tc>
          <w:tcPr/>
          <w:p>
            <w:pPr>
              <w:pStyle w:val="Compact"/>
            </w:pPr>
            <w:r>
              <w:rPr>
                <w:b/>
                <w:bCs/>
              </w:rPr>
              <w:t xml:space="preserve">Rationale</w:t>
            </w:r>
          </w:p>
        </w:tc>
      </w:tr>
      <w:tr>
        <w:tc>
          <w:tcPr/>
          <w:p>
            <w:pPr>
              <w:pStyle w:val="Compact"/>
            </w:pPr>
            <w:r>
              <w:t xml:space="preserve">Assignment type</w:t>
            </w:r>
          </w:p>
        </w:tc>
        <w:tc>
          <w:tcPr/>
          <w:p>
            <w:pPr>
              <w:pStyle w:val="Compact"/>
            </w:pPr>
            <w:r>
              <w:rPr>
                <w:b/>
                <w:bCs/>
              </w:rPr>
              <w:t xml:space="preserve">Eligible</w:t>
            </w:r>
            <w:r>
              <w:t xml:space="preserve"> </w:t>
            </w:r>
            <w:r>
              <w:t xml:space="preserve">(not Active)</w:t>
            </w:r>
          </w:p>
        </w:tc>
        <w:tc>
          <w:tcPr/>
          <w:p>
            <w:pPr>
              <w:pStyle w:val="Compact"/>
            </w:pPr>
            <w:r>
              <w:t xml:space="preserve">No standing privilege; elevation is explicit and logged</w:t>
            </w:r>
          </w:p>
        </w:tc>
      </w:tr>
      <w:tr>
        <w:tc>
          <w:tcPr/>
          <w:p>
            <w:pPr>
              <w:pStyle w:val="Compact"/>
            </w:pPr>
            <w:r>
              <w:t xml:space="preserve">Maximum activation duration</w:t>
            </w:r>
          </w:p>
        </w:tc>
        <w:tc>
          <w:tcPr/>
          <w:p>
            <w:pPr>
              <w:pStyle w:val="Compact"/>
            </w:pPr>
            <w:r>
              <w:rPr>
                <w:b/>
                <w:bCs/>
              </w:rPr>
              <w:t xml:space="preserve">4 hours</w:t>
            </w:r>
            <w:r>
              <w:t xml:space="preserve"> </w:t>
            </w:r>
            <w:r>
              <w:t xml:space="preserve">(Application Admin, Hybrid Identity Admin);</w:t>
            </w:r>
            <w:r>
              <w:t xml:space="preserve"> </w:t>
            </w:r>
            <w:r>
              <w:rPr>
                <w:b/>
                <w:bCs/>
              </w:rPr>
              <w:t xml:space="preserve">2 hours</w:t>
            </w:r>
            <w:r>
              <w:t xml:space="preserve"> </w:t>
            </w:r>
            <w:r>
              <w:t xml:space="preserve">(Authentication Admin, User Admin)</w:t>
            </w:r>
          </w:p>
        </w:tc>
        <w:tc>
          <w:tcPr/>
          <w:p>
            <w:pPr>
              <w:pStyle w:val="Compact"/>
            </w:pPr>
            <w:r>
              <w:t xml:space="preserve">Minimizes exposure window for privileged session</w:t>
            </w:r>
          </w:p>
        </w:tc>
      </w:tr>
      <w:tr>
        <w:tc>
          <w:tcPr/>
          <w:p>
            <w:pPr>
              <w:pStyle w:val="Compact"/>
            </w:pPr>
            <w:r>
              <w:t xml:space="preserve">Approval required for activation</w:t>
            </w:r>
          </w:p>
        </w:tc>
        <w:tc>
          <w:tcPr/>
          <w:p>
            <w:pPr>
              <w:pStyle w:val="Compact"/>
            </w:pPr>
            <w:r>
              <w:rPr>
                <w:b/>
                <w:bCs/>
              </w:rPr>
              <w:t xml:space="preserve">Yes</w:t>
            </w:r>
            <w:r>
              <w:t xml:space="preserve"> </w:t>
            </w:r>
            <w:r>
              <w:t xml:space="preserve">— Approval by Help Desk Supervisor or Identity Engineering Lead</w:t>
            </w:r>
          </w:p>
        </w:tc>
        <w:tc>
          <w:tcPr/>
          <w:p>
            <w:pPr>
              <w:pStyle w:val="Compact"/>
            </w:pPr>
            <w:r>
              <w:t xml:space="preserve">Two-person integrity for all elevated operations</w:t>
            </w:r>
          </w:p>
        </w:tc>
      </w:tr>
      <w:tr>
        <w:tc>
          <w:tcPr/>
          <w:p>
            <w:pPr>
              <w:pStyle w:val="Compact"/>
            </w:pPr>
            <w:r>
              <w:t xml:space="preserve">Justification required</w:t>
            </w:r>
          </w:p>
        </w:tc>
        <w:tc>
          <w:tcPr/>
          <w:p>
            <w:pPr>
              <w:pStyle w:val="Compact"/>
            </w:pPr>
            <w:r>
              <w:rPr>
                <w:b/>
                <w:bCs/>
              </w:rPr>
              <w:t xml:space="preserve">Yes</w:t>
            </w:r>
            <w:r>
              <w:t xml:space="preserve"> </w:t>
            </w:r>
            <w:r>
              <w:t xml:space="preserve">— ServiceNow RITM number and brief action description required in justification field</w:t>
            </w:r>
          </w:p>
        </w:tc>
        <w:tc>
          <w:tcPr/>
          <w:p>
            <w:pPr>
              <w:pStyle w:val="Compact"/>
            </w:pPr>
            <w:r>
              <w:t xml:space="preserve">Links every elevation to a governed work item</w:t>
            </w:r>
          </w:p>
        </w:tc>
      </w:tr>
      <w:tr>
        <w:tc>
          <w:tcPr/>
          <w:p>
            <w:pPr>
              <w:pStyle w:val="Compact"/>
            </w:pPr>
            <w:r>
              <w:t xml:space="preserve">MFA required on activation</w:t>
            </w:r>
          </w:p>
        </w:tc>
        <w:tc>
          <w:tcPr/>
          <w:p>
            <w:pPr>
              <w:pStyle w:val="Compact"/>
            </w:pPr>
            <w:r>
              <w:rPr>
                <w:b/>
                <w:bCs/>
              </w:rPr>
              <w:t xml:space="preserve">Yes</w:t>
            </w:r>
            <w:r>
              <w:t xml:space="preserve"> </w:t>
            </w:r>
            <w:r>
              <w:t xml:space="preserve">— Phishing-resistant MFA (FIDO2 or certificate-based) required</w:t>
            </w:r>
          </w:p>
        </w:tc>
        <w:tc>
          <w:tcPr/>
          <w:p>
            <w:pPr>
              <w:pStyle w:val="Compact"/>
            </w:pPr>
            <w:r>
              <w:t xml:space="preserve">Prevents credential-based elevation abuse</w:t>
            </w:r>
          </w:p>
        </w:tc>
      </w:tr>
      <w:tr>
        <w:tc>
          <w:tcPr/>
          <w:p>
            <w:pPr>
              <w:pStyle w:val="Compact"/>
            </w:pPr>
            <w:r>
              <w:t xml:space="preserve">Eligible assignment expiration</w:t>
            </w:r>
          </w:p>
        </w:tc>
        <w:tc>
          <w:tcPr/>
          <w:p>
            <w:pPr>
              <w:pStyle w:val="Compact"/>
            </w:pPr>
            <w:r>
              <w:rPr>
                <w:b/>
                <w:bCs/>
              </w:rPr>
              <w:t xml:space="preserve">12 months</w:t>
            </w:r>
            <w:r>
              <w:t xml:space="preserve"> </w:t>
            </w:r>
            <w:r>
              <w:t xml:space="preserve">— PAG membership reviewed annually; must be re-approved</w:t>
            </w:r>
          </w:p>
        </w:tc>
        <w:tc>
          <w:tcPr/>
          <w:p>
            <w:pPr>
              <w:pStyle w:val="Compact"/>
            </w:pPr>
            <w:r>
              <w:t xml:space="preserve">Ensures access certifications are enforced</w:t>
            </w:r>
          </w:p>
        </w:tc>
      </w:tr>
      <w:tr>
        <w:tc>
          <w:tcPr/>
          <w:p>
            <w:pPr>
              <w:pStyle w:val="Compact"/>
            </w:pPr>
            <w:r>
              <w:t xml:space="preserve">Notification on activation</w:t>
            </w:r>
          </w:p>
        </w:tc>
        <w:tc>
          <w:tcPr/>
          <w:p>
            <w:pPr>
              <w:pStyle w:val="Compact"/>
            </w:pPr>
            <w:r>
              <w:rPr>
                <w:b/>
                <w:bCs/>
              </w:rPr>
              <w:t xml:space="preserve">Yes</w:t>
            </w:r>
            <w:r>
              <w:t xml:space="preserve"> </w:t>
            </w:r>
            <w:r>
              <w:t xml:space="preserve">— Alert to Help Desk Supervisor and Identity Engineering inbox</w:t>
            </w:r>
          </w:p>
        </w:tc>
        <w:tc>
          <w:tcPr/>
          <w:p>
            <w:pPr>
              <w:pStyle w:val="Compact"/>
            </w:pPr>
            <w:r>
              <w:t xml:space="preserve">Real-time awareness of privilege use</w:t>
            </w:r>
          </w:p>
        </w:tc>
      </w:tr>
    </w:tbl>
    <w:bookmarkEnd w:id="26"/>
    <w:bookmarkStart w:id="27" w:name="full-audit-trail"/>
    <w:p>
      <w:pPr>
        <w:pStyle w:val="Heading3"/>
      </w:pPr>
      <w:r>
        <w:t xml:space="preserve">Full audit trail</w:t>
      </w:r>
    </w:p>
    <w:p>
      <w:pPr>
        <w:pStyle w:val="FirstParagraph"/>
      </w:pPr>
      <w:r>
        <w:t xml:space="preserve">Every PIM elevation generates an immutable audit event in the Entra ID Audit Logs</w:t>
      </w:r>
      <w:r>
        <w:t xml:space="preserve"> </w:t>
      </w:r>
      <w:r>
        <w:t xml:space="preserve">and is captured by the agency’s SIEM system. The audit record includes: the UPN of</w:t>
      </w:r>
      <w:r>
        <w:t xml:space="preserve"> </w:t>
      </w:r>
      <w:r>
        <w:t xml:space="preserve">the activating technician, the role activated, the justification text entered, the</w:t>
      </w:r>
      <w:r>
        <w:t xml:space="preserve"> </w:t>
      </w:r>
      <w:r>
        <w:t xml:space="preserve">timestamp of activation and deactivation, and the approver’s UPN. This record is</w:t>
      </w:r>
      <w:r>
        <w:t xml:space="preserve"> </w:t>
      </w:r>
      <w:r>
        <w:t xml:space="preserve">retained per the audit and compliance requirements of this guide. Help Desk</w:t>
      </w:r>
      <w:r>
        <w:t xml:space="preserve"> </w:t>
      </w:r>
      <w:r>
        <w:t xml:space="preserve">personnel must enter the ServiceNow RITM number (e.g.,</w:t>
      </w:r>
      <w:r>
        <w:t xml:space="preserve"> </w:t>
      </w:r>
      <w:r>
        <w:t xml:space="preserve">“RITM0045821”</w:t>
      </w:r>
      <w:r>
        <w:t xml:space="preserve">) in the PIM</w:t>
      </w:r>
      <w:r>
        <w:t xml:space="preserve"> </w:t>
      </w:r>
      <w:r>
        <w:t xml:space="preserve">justification field — entries that do not reference a valid RITM are flagged for</w:t>
      </w:r>
      <w:r>
        <w:t xml:space="preserve"> </w:t>
      </w:r>
      <w:r>
        <w:t xml:space="preserve">review.</w:t>
      </w:r>
    </w:p>
    <w:bookmarkEnd w:id="27"/>
    <w:bookmarkStart w:id="28" w:name="onboarding-a-technician-to-the-pag"/>
    <w:p>
      <w:pPr>
        <w:pStyle w:val="Heading3"/>
      </w:pPr>
      <w:r>
        <w:t xml:space="preserve">Onboarding a technician to the PAG</w:t>
      </w:r>
    </w:p>
    <w:p>
      <w:pPr>
        <w:pStyle w:val="Compact"/>
        <w:numPr>
          <w:ilvl w:val="0"/>
          <w:numId w:val="1004"/>
        </w:numPr>
      </w:pPr>
      <w:r>
        <w:t xml:space="preserve">Help Desk Supervisor submits a SAM access request for the technician,</w:t>
      </w:r>
      <w:r>
        <w:t xml:space="preserve"> </w:t>
      </w:r>
      <w:r>
        <w:t xml:space="preserve">specifying the</w:t>
      </w:r>
      <w:r>
        <w:t xml:space="preserve"> </w:t>
      </w:r>
      <w:r>
        <w:rPr>
          <w:b/>
          <w:bCs/>
        </w:rPr>
        <w:t xml:space="preserve">Entra-HelpDesk-Operators</w:t>
      </w:r>
      <w:r>
        <w:t xml:space="preserve"> </w:t>
      </w:r>
      <w:r>
        <w:t xml:space="preserve">PAG.</w:t>
      </w:r>
    </w:p>
    <w:p>
      <w:pPr>
        <w:pStyle w:val="Compact"/>
        <w:numPr>
          <w:ilvl w:val="0"/>
          <w:numId w:val="1004"/>
        </w:numPr>
      </w:pPr>
      <w:r>
        <w:t xml:space="preserve">SAM routes the request through the standard approval chain: Departmental Owner →</w:t>
      </w:r>
      <w:r>
        <w:t xml:space="preserve"> </w:t>
      </w:r>
      <w:r>
        <w:t xml:space="preserve">IGO (due to privileged nature).</w:t>
      </w:r>
    </w:p>
    <w:p>
      <w:pPr>
        <w:pStyle w:val="Compact"/>
        <w:numPr>
          <w:ilvl w:val="0"/>
          <w:numId w:val="1004"/>
        </w:numPr>
      </w:pPr>
      <w:r>
        <w:t xml:space="preserve">Upon IGO approval, SAM generates a ServiceNow RITM tasked to Identity</w:t>
      </w:r>
      <w:r>
        <w:t xml:space="preserve"> </w:t>
      </w:r>
      <w:r>
        <w:t xml:space="preserve">Engineering.</w:t>
      </w:r>
    </w:p>
    <w:p>
      <w:pPr>
        <w:pStyle w:val="Compact"/>
        <w:numPr>
          <w:ilvl w:val="0"/>
          <w:numId w:val="1004"/>
        </w:numPr>
      </w:pPr>
      <w:r>
        <w:t xml:space="preserve">Identity Engineering adds the technician’s account to the PAG in Entra ID as an</w:t>
      </w:r>
      <w:r>
        <w:t xml:space="preserve"> </w:t>
      </w:r>
      <w:r>
        <w:rPr>
          <w:b/>
          <w:bCs/>
        </w:rPr>
        <w:t xml:space="preserve">Eligible</w:t>
      </w:r>
      <w:r>
        <w:t xml:space="preserve"> </w:t>
      </w:r>
      <w:r>
        <w:t xml:space="preserve">member via PIM.</w:t>
      </w:r>
    </w:p>
    <w:p>
      <w:pPr>
        <w:pStyle w:val="Compact"/>
        <w:numPr>
          <w:ilvl w:val="0"/>
          <w:numId w:val="1004"/>
        </w:numPr>
      </w:pPr>
      <w:r>
        <w:t xml:space="preserve">Identity Engineering resolves the RITM and notifies the Help Desk Supervisor.</w:t>
      </w:r>
    </w:p>
    <w:p>
      <w:pPr>
        <w:pStyle w:val="Compact"/>
        <w:numPr>
          <w:ilvl w:val="0"/>
          <w:numId w:val="1004"/>
        </w:numPr>
      </w:pPr>
      <w:r>
        <w:t xml:space="preserve">Technician completes required PIM training and acknowledges this guide before</w:t>
      </w:r>
      <w:r>
        <w:t xml:space="preserve"> </w:t>
      </w:r>
      <w:r>
        <w:t xml:space="preserve">first elevation.</w:t>
      </w:r>
    </w:p>
    <w:bookmarkEnd w:id="28"/>
    <w:bookmarkStart w:id="29" w:name="offboarding-a-technician-from-the-pag"/>
    <w:p>
      <w:pPr>
        <w:pStyle w:val="Heading3"/>
      </w:pPr>
      <w:r>
        <w:t xml:space="preserve">Offboarding a technician from the PAG</w:t>
      </w:r>
    </w:p>
    <w:p>
      <w:pPr>
        <w:pStyle w:val="Compact"/>
        <w:numPr>
          <w:ilvl w:val="0"/>
          <w:numId w:val="1005"/>
        </w:numPr>
      </w:pPr>
      <w:r>
        <w:t xml:space="preserve">Supervisor submits offboarding or role-removal request in SAM upon technician</w:t>
      </w:r>
      <w:r>
        <w:t xml:space="preserve"> </w:t>
      </w:r>
      <w:r>
        <w:t xml:space="preserve">departure, role change, or disciplinary action.</w:t>
      </w:r>
    </w:p>
    <w:p>
      <w:pPr>
        <w:pStyle w:val="Compact"/>
        <w:numPr>
          <w:ilvl w:val="0"/>
          <w:numId w:val="1005"/>
        </w:numPr>
      </w:pPr>
      <w:r>
        <w:t xml:space="preserve">SAM immediately flags the account for access removal. IGO approval is not</w:t>
      </w:r>
      <w:r>
        <w:t xml:space="preserve"> </w:t>
      </w:r>
      <w:r>
        <w:t xml:space="preserve">required for removals — removal is executed on SAM approval alone.</w:t>
      </w:r>
    </w:p>
    <w:p>
      <w:pPr>
        <w:pStyle w:val="Compact"/>
        <w:numPr>
          <w:ilvl w:val="0"/>
          <w:numId w:val="1005"/>
        </w:numPr>
      </w:pPr>
      <w:r>
        <w:t xml:space="preserve">ServiceNow RITM is generated to Identity Engineering for immediate PAG</w:t>
      </w:r>
      <w:r>
        <w:t xml:space="preserve"> </w:t>
      </w:r>
      <w:r>
        <w:t xml:space="preserve">membership removal.</w:t>
      </w:r>
    </w:p>
    <w:p>
      <w:pPr>
        <w:pStyle w:val="Compact"/>
        <w:numPr>
          <w:ilvl w:val="0"/>
          <w:numId w:val="1005"/>
        </w:numPr>
      </w:pPr>
      <w:r>
        <w:t xml:space="preserve">Identity Engineering removes the technician’s eligible assignment from PIM and</w:t>
      </w:r>
      <w:r>
        <w:t xml:space="preserve"> </w:t>
      </w:r>
      <w:r>
        <w:t xml:space="preserve">resolves the RITM.</w:t>
      </w:r>
    </w:p>
    <w:p>
      <w:pPr>
        <w:pStyle w:val="Compact"/>
        <w:numPr>
          <w:ilvl w:val="0"/>
          <w:numId w:val="1005"/>
        </w:numPr>
      </w:pPr>
      <w:r>
        <w:t xml:space="preserve">If a PIM session is active at the time of removal, Identity Engineering must</w:t>
      </w:r>
      <w:r>
        <w:t xml:space="preserve"> </w:t>
      </w:r>
      <w:r>
        <w:t xml:space="preserve">also terminate any active role sessions.</w:t>
      </w:r>
    </w:p>
    <w:bookmarkEnd w:id="29"/>
    <w:bookmarkEnd w:id="30"/>
    <w:bookmarkStart w:id="34" w:name="assigned-entra-roles-and-their-scope"/>
    <w:p>
      <w:pPr>
        <w:pStyle w:val="Heading2"/>
      </w:pPr>
      <w:r>
        <w:t xml:space="preserve">Assigned Entra roles and their scope</w:t>
      </w:r>
    </w:p>
    <w:p>
      <w:pPr>
        <w:pStyle w:val="FirstParagraph"/>
      </w:pPr>
      <w:r>
        <w:t xml:space="preserve">The following four Entra ID directory roles are the complete set of roles</w:t>
      </w:r>
      <w:r>
        <w:t xml:space="preserve"> </w:t>
      </w:r>
      <w:r>
        <w:t xml:space="preserve">assignable to the Help Desk PAG. Two are required; two are optional and must be</w:t>
      </w:r>
      <w:r>
        <w:t xml:space="preserve"> </w:t>
      </w:r>
      <w:r>
        <w:t xml:space="preserve">explicitly authorized by the IGO for inclusion in the agency’s PAG configuration.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Role</w:t>
            </w:r>
          </w:p>
        </w:tc>
        <w:tc>
          <w:tcPr/>
          <w:p>
            <w:pPr>
              <w:pStyle w:val="Compact"/>
            </w:pPr>
            <w:r>
              <w:rPr>
                <w:b/>
                <w:bCs/>
              </w:rPr>
              <w:t xml:space="preserve">Required / Optional</w:t>
            </w:r>
          </w:p>
        </w:tc>
        <w:tc>
          <w:tcPr/>
          <w:p>
            <w:pPr>
              <w:pStyle w:val="Compact"/>
            </w:pPr>
            <w:r>
              <w:rPr>
                <w:b/>
                <w:bCs/>
              </w:rPr>
              <w:t xml:space="preserve">Authorized tasks</w:t>
            </w:r>
          </w:p>
        </w:tc>
        <w:tc>
          <w:tcPr/>
          <w:p>
            <w:pPr>
              <w:pStyle w:val="Compact"/>
            </w:pPr>
            <w:r>
              <w:rPr>
                <w:b/>
                <w:bCs/>
              </w:rPr>
              <w:t xml:space="preserve">NOT authorized under this role</w:t>
            </w:r>
          </w:p>
        </w:tc>
        <w:tc>
          <w:tcPr/>
          <w:p>
            <w:pPr>
              <w:pStyle w:val="Compact"/>
            </w:pPr>
            <w:r>
              <w:rPr>
                <w:b/>
                <w:bCs/>
              </w:rPr>
              <w:t xml:space="preserve">Notes</w:t>
            </w:r>
          </w:p>
        </w:tc>
      </w:tr>
      <w:tr>
        <w:tc>
          <w:tcPr/>
          <w:p>
            <w:pPr>
              <w:pStyle w:val="Compact"/>
            </w:pPr>
            <w:r>
              <w:rPr>
                <w:b/>
                <w:bCs/>
              </w:rPr>
              <w:t xml:space="preserve">Application Administrator</w:t>
            </w:r>
          </w:p>
        </w:tc>
        <w:tc>
          <w:tcPr/>
          <w:p>
            <w:pPr>
              <w:pStyle w:val="Compact"/>
            </w:pPr>
            <w:r>
              <w:rPr>
                <w:b/>
                <w:bCs/>
              </w:rPr>
              <w:t xml:space="preserve">Required</w:t>
            </w:r>
          </w:p>
        </w:tc>
        <w:tc>
          <w:tcPr/>
          <w:p>
            <w:pPr>
              <w:pStyle w:val="Compact"/>
            </w:pPr>
            <w:r>
              <w:t xml:space="preserve">Assign security groups to Enterprise Application role assignments. Remove group assignments from Enterprise Applications. View app role assignments for audit and triage. View and read Enterprise Application configurations. Review sign-in logs for application access diagnostics.</w:t>
            </w:r>
          </w:p>
        </w:tc>
        <w:tc>
          <w:tcPr/>
          <w:p>
            <w:pPr>
              <w:pStyle w:val="Compact"/>
            </w:pPr>
            <w:r>
              <w:t xml:space="preserve">Create or delete App Registrations or Service Principals. Modify API permissions or consent settings. Approve Admin Consent grants. Modify application Conditional Access assignments.</w:t>
            </w:r>
          </w:p>
        </w:tc>
        <w:tc>
          <w:tcPr/>
          <w:p>
            <w:pPr>
              <w:pStyle w:val="Compact"/>
            </w:pPr>
            <w:r>
              <w:t xml:space="preserve">This role provides write access to Enterprise Application role assignments — the most operationally critical capability for Help Desk. PIM elevation required for all write operations. Read access for diagnostics does not require elevation but must be documented.</w:t>
            </w:r>
          </w:p>
        </w:tc>
      </w:tr>
      <w:tr>
        <w:tc>
          <w:tcPr/>
          <w:p>
            <w:pPr>
              <w:pStyle w:val="Compact"/>
            </w:pPr>
            <w:r>
              <w:rPr>
                <w:b/>
                <w:bCs/>
              </w:rPr>
              <w:t xml:space="preserve">Hybrid Identity Administrator</w:t>
            </w:r>
          </w:p>
        </w:tc>
        <w:tc>
          <w:tcPr/>
          <w:p>
            <w:pPr>
              <w:pStyle w:val="Compact"/>
            </w:pPr>
            <w:r>
              <w:rPr>
                <w:b/>
                <w:bCs/>
              </w:rPr>
              <w:t xml:space="preserve">Required</w:t>
            </w:r>
          </w:p>
        </w:tc>
        <w:tc>
          <w:tcPr/>
          <w:p>
            <w:pPr>
              <w:pStyle w:val="Compact"/>
            </w:pPr>
            <w:r>
              <w:t xml:space="preserve">Reset ImmutableID attribute on cloud-synced user objects via PowerShell. View Entra Connect synchronization status and health. Diagnose sync mismatches between on-premises AD and Entra ID. Initiate object re-sync after ImmutableID correction.</w:t>
            </w:r>
          </w:p>
        </w:tc>
        <w:tc>
          <w:tcPr/>
          <w:p>
            <w:pPr>
              <w:pStyle w:val="Compact"/>
            </w:pPr>
            <w:r>
              <w:t xml:space="preserve">Modify Entra Connect synchronization rules or configuration. Create or modify on-premises AD objects (those remain in AD admin scope). Change tenant-level hybrid identity settings. Manage AD FS or Entra ID federation configuration.</w:t>
            </w:r>
          </w:p>
        </w:tc>
        <w:tc>
          <w:tcPr/>
          <w:p>
            <w:pPr>
              <w:pStyle w:val="Compact"/>
            </w:pPr>
            <w:r>
              <w:t xml:space="preserve">ImmutableID operations carry significant risk — an incorrect reset can orphan the cloud object or create a duplicate. All ImmutableID actions require Identity Engineering Lead approval in the ServiceNow ticket before Help Desk proceeds. Procedure is in the Hybrid identity operations section.</w:t>
            </w:r>
          </w:p>
        </w:tc>
      </w:tr>
      <w:tr>
        <w:tc>
          <w:tcPr/>
          <w:p>
            <w:pPr>
              <w:pStyle w:val="Compact"/>
            </w:pPr>
            <w:r>
              <w:rPr>
                <w:b/>
                <w:bCs/>
              </w:rPr>
              <w:t xml:space="preserve">Authentication Administrator</w:t>
            </w:r>
          </w:p>
        </w:tc>
        <w:tc>
          <w:tcPr/>
          <w:p>
            <w:pPr>
              <w:pStyle w:val="Compact"/>
            </w:pPr>
            <w:r>
              <w:rPr>
                <w:b/>
                <w:bCs/>
              </w:rPr>
              <w:t xml:space="preserve">Optional</w:t>
            </w:r>
            <w:r>
              <w:t xml:space="preserve"> </w:t>
            </w:r>
            <w:r>
              <w:t xml:space="preserve">(IGO authorization required)</w:t>
            </w:r>
          </w:p>
        </w:tc>
        <w:tc>
          <w:tcPr/>
          <w:p>
            <w:pPr>
              <w:pStyle w:val="Compact"/>
            </w:pPr>
            <w:r>
              <w:t xml:space="preserve">Reset MFA authentication methods for non-administrator users. Re-register a user’s FIDO2 key, authenticator app, or phone number. Temporarily disable MFA for a specific user under Help Desk Supervisor approval. View authentication method registration status for triage.</w:t>
            </w:r>
          </w:p>
        </w:tc>
        <w:tc>
          <w:tcPr/>
          <w:p>
            <w:pPr>
              <w:pStyle w:val="Compact"/>
            </w:pPr>
            <w:r>
              <w:t xml:space="preserve">Manage authentication methods for any user holding an Entra directory role. Modify tenant-wide authentication policies. Create or modify Conditional Access authentication strength policies. Bypass MFA for accounts with privileged roles.</w:t>
            </w:r>
          </w:p>
        </w:tc>
        <w:tc>
          <w:tcPr/>
          <w:p>
            <w:pPr>
              <w:pStyle w:val="Compact"/>
            </w:pPr>
            <w:r>
              <w:t xml:space="preserve">Authentication Administrator cannot manage MFA for other Administrators. If a user holding an Entra role requires MFA reset, escalate to Global Administrator or Privileged Authentication Administrator (out of Help Desk scope).</w:t>
            </w:r>
          </w:p>
        </w:tc>
      </w:tr>
      <w:tr>
        <w:tc>
          <w:tcPr/>
          <w:p>
            <w:pPr>
              <w:pStyle w:val="Compact"/>
            </w:pPr>
            <w:r>
              <w:rPr>
                <w:b/>
                <w:bCs/>
              </w:rPr>
              <w:t xml:space="preserve">User Administrator</w:t>
            </w:r>
          </w:p>
        </w:tc>
        <w:tc>
          <w:tcPr/>
          <w:p>
            <w:pPr>
              <w:pStyle w:val="Compact"/>
            </w:pPr>
            <w:r>
              <w:rPr>
                <w:b/>
                <w:bCs/>
              </w:rPr>
              <w:t xml:space="preserve">Optional — Restricted</w:t>
            </w:r>
            <w:r>
              <w:t xml:space="preserve"> </w:t>
            </w:r>
            <w:r>
              <w:t xml:space="preserve">(IGO authorization required; use with caution)</w:t>
            </w:r>
          </w:p>
        </w:tc>
        <w:tc>
          <w:tcPr/>
          <w:p>
            <w:pPr>
              <w:pStyle w:val="Compact"/>
            </w:pPr>
            <w:r>
              <w:t xml:space="preserve">Reset passwords for non-administrator users, where SAM and ServiceNow do not automate the reset. Assign or remove licenses when authorized via SAM-originated RITM with Departmental Owner approval. Trigger OneDrive provisioning for a newly licensed user. Update basic user profile attributes per SAM-initiated change request.</w:t>
            </w:r>
          </w:p>
        </w:tc>
        <w:tc>
          <w:tcPr/>
          <w:p>
            <w:pPr>
              <w:pStyle w:val="Compact"/>
            </w:pPr>
            <w:r>
              <w:t xml:space="preserve">Delete user accounts. Manage users who hold Entra directory roles. Assign or remove Entra directory roles from users. Create guest or B2B invitation accounts.</w:t>
            </w:r>
          </w:p>
        </w:tc>
        <w:tc>
          <w:tcPr/>
          <w:p>
            <w:pPr>
              <w:pStyle w:val="Compact"/>
            </w:pPr>
            <w:r>
              <w:t xml:space="preserve">User Administrator is the broadest optional role and must be activated only for the specific task authorized in the RITM. Supervisor approval is required before elevation. This role’s inclusion in the PAG requires annual IGO re-authorization and must be justified by operational necessity.</w:t>
            </w:r>
          </w:p>
        </w:tc>
      </w:tr>
    </w:tbl>
    <w:p>
      <w:pPr>
        <w:pStyle w:val="BodyText"/>
      </w:pPr>
      <w:r>
        <w:t xml:space="preserve"> </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BodyText"/>
            </w:pPr>
            <w:pPr>
              <w:spacing w:before="0" w:after="0"/>
              <w:textAlignment w:val="center"/>
            </w:pPr>
            <w:r>
              <w:drawing>
                <wp:inline>
                  <wp:extent cx="152400" cy="152400"/>
                  <wp:effectExtent b="0" l="0" r="0" t="0"/>
                  <wp:docPr descr="" title="" id="32" name="Picture"/>
                  <a:graphic>
                    <a:graphicData uri="http://schemas.openxmlformats.org/drawingml/2006/picture">
                      <pic:pic>
                        <pic:nvPicPr>
                          <pic:cNvPr descr="/opt/quarto/share/formats/docx/important.png" id="33"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No native Help Desk role in Entra ID</w:t>
            </w:r>
          </w:p>
        </w:tc>
      </w:tr>
      <w:tr>
        <w:trPr>
          <w:cantSplit/>
        </w:trPr>
        <w:tc>
          <w:tcPr>
            <w:tcMar>
              <w:top w:w="108" w:type="dxa"/>
              <w:bottom w:w="108" w:type="dxa"/>
            </w:tcMar>
          </w:tcPr>
          <w:p>
            <w:pPr>
              <w:pStyle w:val="BodyText"/>
            </w:pPr>
            <w:pPr>
              <w:spacing w:before="16" w:after="16"/>
            </w:pPr>
            <w:r>
              <w:t xml:space="preserve">The Microsoft built-in</w:t>
            </w:r>
            <w:r>
              <w:t xml:space="preserve"> </w:t>
            </w:r>
            <w:r>
              <w:rPr>
                <w:b/>
                <w:bCs/>
              </w:rPr>
              <w:t xml:space="preserve">Helpdesk Administrator</w:t>
            </w:r>
            <w:r>
              <w:t xml:space="preserve"> </w:t>
            </w:r>
            <w:r>
              <w:t xml:space="preserve">role is</w:t>
            </w:r>
            <w:r>
              <w:t xml:space="preserve"> </w:t>
            </w:r>
            <w:r>
              <w:rPr>
                <w:b/>
                <w:bCs/>
              </w:rPr>
              <w:t xml:space="preserve">NOT used</w:t>
            </w:r>
            <w:r>
              <w:t xml:space="preserve"> </w:t>
            </w:r>
            <w:r>
              <w:t xml:space="preserve">in this</w:t>
            </w:r>
            <w:r>
              <w:t xml:space="preserve"> </w:t>
            </w:r>
            <w:r>
              <w:t xml:space="preserve">agency’s model and is</w:t>
            </w:r>
            <w:r>
              <w:t xml:space="preserve"> </w:t>
            </w:r>
            <w:r>
              <w:rPr>
                <w:b/>
                <w:bCs/>
              </w:rPr>
              <w:t xml:space="preserve">NOT assigned</w:t>
            </w:r>
            <w:r>
              <w:t xml:space="preserve"> </w:t>
            </w:r>
            <w:r>
              <w:t xml:space="preserve">to the PAG or to any Help Desk technician</w:t>
            </w:r>
            <w:r>
              <w:t xml:space="preserve"> </w:t>
            </w:r>
            <w:r>
              <w:t xml:space="preserve">individually. That role covers only password resets and basic M365 tasks. It</w:t>
            </w:r>
            <w:r>
              <w:t xml:space="preserve"> </w:t>
            </w:r>
            <w:r>
              <w:t xml:space="preserve">cannot assign groups to Enterprise Applications, triage Admin Consent, reset</w:t>
            </w:r>
            <w:r>
              <w:t xml:space="preserve"> </w:t>
            </w:r>
            <w:r>
              <w:t xml:space="preserve">ImmutableID, manage app role assignments, or manage Service Principals. The</w:t>
            </w:r>
            <w:r>
              <w:t xml:space="preserve"> </w:t>
            </w:r>
            <w:r>
              <w:t xml:space="preserve">PAG-based model documented in this guide is the correct enterprise architecture</w:t>
            </w:r>
            <w:r>
              <w:t xml:space="preserve"> </w:t>
            </w:r>
            <w:r>
              <w:t xml:space="preserve">for Help Desk identity operations.</w:t>
            </w:r>
          </w:p>
          <w:p/>
        </w:tc>
      </w:tr>
    </w:tbl>
    <w:bookmarkEnd w:id="34"/>
    <w:bookmarkStart w:id="41" w:name="X9fd83125ee30870c76588d6f222a3e31a53778e"/>
    <w:p>
      <w:pPr>
        <w:pStyle w:val="Heading2"/>
      </w:pPr>
      <w:r>
        <w:t xml:space="preserve">SAM — Systems Access Management integration</w:t>
      </w:r>
    </w:p>
    <w:bookmarkStart w:id="37" w:name="overview-the-three-platform-model"/>
    <w:p>
      <w:pPr>
        <w:pStyle w:val="Heading3"/>
      </w:pPr>
      <w:r>
        <w:t xml:space="preserve">Overview — the three-platform model</w:t>
      </w:r>
    </w:p>
    <w:p>
      <w:pPr>
        <w:pStyle w:val="FirstParagraph"/>
      </w:pPr>
      <w:r>
        <w:t xml:space="preserve">The agency’s access management architecture operates across three distinct but</w:t>
      </w:r>
      <w:r>
        <w:t xml:space="preserve"> </w:t>
      </w:r>
      <w:r>
        <w:t xml:space="preserve">integrated platforms. Help Desk personnel must understand the distinct role and</w:t>
      </w:r>
      <w:r>
        <w:t xml:space="preserve"> </w:t>
      </w:r>
      <w:r>
        <w:t xml:space="preserve">authority of each platform and must never conflate their functions.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Platform</w:t>
            </w:r>
          </w:p>
        </w:tc>
        <w:tc>
          <w:tcPr/>
          <w:p>
            <w:pPr>
              <w:pStyle w:val="Compact"/>
            </w:pPr>
            <w:r>
              <w:rPr>
                <w:b/>
                <w:bCs/>
              </w:rPr>
              <w:t xml:space="preserve">Role in the architecture</w:t>
            </w:r>
          </w:p>
        </w:tc>
        <w:tc>
          <w:tcPr/>
          <w:p>
            <w:pPr>
              <w:pStyle w:val="Compact"/>
            </w:pPr>
            <w:r>
              <w:rPr>
                <w:b/>
                <w:bCs/>
              </w:rPr>
              <w:t xml:space="preserve">Who administers it</w:t>
            </w:r>
          </w:p>
        </w:tc>
        <w:tc>
          <w:tcPr/>
          <w:p>
            <w:pPr>
              <w:pStyle w:val="Compact"/>
            </w:pPr>
            <w:r>
              <w:rPr>
                <w:b/>
                <w:bCs/>
              </w:rPr>
              <w:t xml:space="preserve">Help Desk relationship</w:t>
            </w:r>
          </w:p>
        </w:tc>
      </w:tr>
      <w:tr>
        <w:tc>
          <w:tcPr/>
          <w:p>
            <w:pPr>
              <w:pStyle w:val="Compact"/>
            </w:pPr>
            <w:r>
              <w:rPr>
                <w:b/>
                <w:bCs/>
              </w:rPr>
              <w:t xml:space="preserve">SAM (SailPoint IGA)</w:t>
            </w:r>
          </w:p>
        </w:tc>
        <w:tc>
          <w:tcPr/>
          <w:p>
            <w:pPr>
              <w:pStyle w:val="Compact"/>
            </w:pPr>
            <w:r>
              <w:t xml:space="preserve">Governs WHO gets access. Routes approvals through business and technical owners. Enforces access policy. Provisions to connected systems via automated connectors. Runs periodic access certifications. Source of truth for access decisions.</w:t>
            </w:r>
          </w:p>
        </w:tc>
        <w:tc>
          <w:tcPr/>
          <w:p>
            <w:pPr>
              <w:pStyle w:val="Compact"/>
            </w:pPr>
            <w:r>
              <w:t xml:space="preserve">IAM / Identity Governance team</w:t>
            </w:r>
          </w:p>
        </w:tc>
        <w:tc>
          <w:tcPr/>
          <w:p>
            <w:pPr>
              <w:pStyle w:val="Compact"/>
            </w:pPr>
            <w:r>
              <w:rPr>
                <w:b/>
                <w:bCs/>
              </w:rPr>
              <w:t xml:space="preserve">Downstream</w:t>
            </w:r>
            <w:r>
              <w:t xml:space="preserve"> </w:t>
            </w:r>
            <w:r>
              <w:t xml:space="preserve">— Help Desk executes only what SAM has already approved. Help Desk does not make access decisions.</w:t>
            </w:r>
          </w:p>
        </w:tc>
      </w:tr>
      <w:tr>
        <w:tc>
          <w:tcPr/>
          <w:p>
            <w:pPr>
              <w:pStyle w:val="Compact"/>
            </w:pPr>
            <w:r>
              <w:rPr>
                <w:b/>
                <w:bCs/>
              </w:rPr>
              <w:t xml:space="preserve">ServiceNow (ITSM)</w:t>
            </w:r>
          </w:p>
        </w:tc>
        <w:tc>
          <w:tcPr/>
          <w:p>
            <w:pPr>
              <w:pStyle w:val="Compact"/>
            </w:pPr>
            <w:r>
              <w:t xml:space="preserve">Tracks work effort. Manages IT change records and request items (RITMs). Enforces SLAs. Provides the audit trail for ITSM actions. Receives auto-generated tasks from SAM and Entra alerts.</w:t>
            </w:r>
          </w:p>
        </w:tc>
        <w:tc>
          <w:tcPr/>
          <w:p>
            <w:pPr>
              <w:pStyle w:val="Compact"/>
            </w:pPr>
            <w:r>
              <w:t xml:space="preserve">ITSM / Service Desk Operations</w:t>
            </w:r>
          </w:p>
        </w:tc>
        <w:tc>
          <w:tcPr/>
          <w:p>
            <w:pPr>
              <w:pStyle w:val="Compact"/>
            </w:pPr>
            <w:r>
              <w:rPr>
                <w:b/>
                <w:bCs/>
              </w:rPr>
              <w:t xml:space="preserve">Operational interface</w:t>
            </w:r>
            <w:r>
              <w:t xml:space="preserve"> </w:t>
            </w:r>
            <w:r>
              <w:t xml:space="preserve">— Help Desk works tickets here. Every Entra action must trace to a ServiceNow ticket.</w:t>
            </w:r>
          </w:p>
        </w:tc>
      </w:tr>
      <w:tr>
        <w:tc>
          <w:tcPr/>
          <w:p>
            <w:pPr>
              <w:pStyle w:val="Compact"/>
            </w:pPr>
            <w:r>
              <w:rPr>
                <w:b/>
                <w:bCs/>
              </w:rPr>
              <w:t xml:space="preserve">Microsoft Entra ID</w:t>
            </w:r>
          </w:p>
        </w:tc>
        <w:tc>
          <w:tcPr/>
          <w:p>
            <w:pPr>
              <w:pStyle w:val="Compact"/>
            </w:pPr>
            <w:r>
              <w:t xml:space="preserve">Enforces access at the identity layer — group memberships, app role assignments, Conditional Access policies, PIM governance, device compliance, hybrid identity sync.</w:t>
            </w:r>
          </w:p>
        </w:tc>
        <w:tc>
          <w:tcPr/>
          <w:p>
            <w:pPr>
              <w:pStyle w:val="Compact"/>
            </w:pPr>
            <w:r>
              <w:t xml:space="preserve">Identity Engineering, Security Operations, Help Desk (within scope)</w:t>
            </w:r>
          </w:p>
        </w:tc>
        <w:tc>
          <w:tcPr/>
          <w:p>
            <w:pPr>
              <w:pStyle w:val="Compact"/>
            </w:pPr>
            <w:r>
              <w:rPr>
                <w:b/>
                <w:bCs/>
              </w:rPr>
              <w:t xml:space="preserve">Execution target</w:t>
            </w:r>
            <w:r>
              <w:t xml:space="preserve"> </w:t>
            </w:r>
            <w:r>
              <w:t xml:space="preserve">— Help Desk makes Entra changes only after SAM approval and ServiceNow task assignment.</w:t>
            </w:r>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35" name="Picture"/>
                  <a:graphic>
                    <a:graphicData uri="http://schemas.openxmlformats.org/drawingml/2006/picture">
                      <pic:pic>
                        <pic:nvPicPr>
                          <pic:cNvPr descr="/opt/quarto/share/formats/docx/note.png" id="36"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Key principle</w:t>
            </w:r>
          </w:p>
        </w:tc>
      </w:tr>
      <w:tr>
        <w:trPr>
          <w:cantSplit/>
        </w:trPr>
        <w:tc>
          <w:tcPr>
            <w:tcMar>
              <w:top w:w="108" w:type="dxa"/>
              <w:bottom w:w="108" w:type="dxa"/>
            </w:tcMar>
          </w:tcPr>
          <w:p>
            <w:pPr>
              <w:pStyle w:val="BodyText"/>
            </w:pPr>
            <w:pPr>
              <w:spacing w:before="16" w:after="16"/>
            </w:pPr>
            <w:r>
              <w:rPr>
                <w:b/>
                <w:bCs/>
              </w:rPr>
              <w:t xml:space="preserve">Help Desk is downstream of SAM.</w:t>
            </w:r>
            <w:r>
              <w:t xml:space="preserve"> </w:t>
            </w:r>
            <w:r>
              <w:t xml:space="preserve">Help Desk executes manual Entra ID actions</w:t>
            </w:r>
            <w:r>
              <w:t xml:space="preserve"> </w:t>
            </w:r>
            <w:r>
              <w:t xml:space="preserve">that SAM cannot automate — after SAM has approved the request and after ServiceNow</w:t>
            </w:r>
            <w:r>
              <w:t xml:space="preserve"> </w:t>
            </w:r>
            <w:r>
              <w:t xml:space="preserve">has created and assigned the task. Help Desk never makes access governance</w:t>
            </w:r>
            <w:r>
              <w:t xml:space="preserve"> </w:t>
            </w:r>
            <w:r>
              <w:t xml:space="preserve">decisions independently.</w:t>
            </w:r>
          </w:p>
          <w:p/>
        </w:tc>
      </w:tr>
    </w:tbl>
    <w:bookmarkEnd w:id="37"/>
    <w:bookmarkStart w:id="38" w:name="Xe0511f004d57dbe29c284d3056950ebaea6af49"/>
    <w:p>
      <w:pPr>
        <w:pStyle w:val="Heading3"/>
      </w:pPr>
      <w:r>
        <w:t xml:space="preserve">SAM actors relevant to Help Desk workflow</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SAM actor</w:t>
            </w:r>
          </w:p>
        </w:tc>
        <w:tc>
          <w:tcPr/>
          <w:p>
            <w:pPr>
              <w:pStyle w:val="Compact"/>
            </w:pPr>
            <w:r>
              <w:rPr>
                <w:b/>
                <w:bCs/>
              </w:rPr>
              <w:t xml:space="preserve">Role in workflow</w:t>
            </w:r>
          </w:p>
        </w:tc>
        <w:tc>
          <w:tcPr/>
          <w:p>
            <w:pPr>
              <w:pStyle w:val="Compact"/>
            </w:pPr>
            <w:r>
              <w:rPr>
                <w:b/>
                <w:bCs/>
              </w:rPr>
              <w:t xml:space="preserve">Help Desk interaction</w:t>
            </w:r>
          </w:p>
        </w:tc>
      </w:tr>
      <w:tr>
        <w:tc>
          <w:tcPr/>
          <w:p>
            <w:pPr>
              <w:pStyle w:val="Compact"/>
            </w:pPr>
            <w:r>
              <w:rPr>
                <w:b/>
                <w:bCs/>
              </w:rPr>
              <w:t xml:space="preserve">Access Requester</w:t>
            </w:r>
          </w:p>
        </w:tc>
        <w:tc>
          <w:tcPr/>
          <w:p>
            <w:pPr>
              <w:pStyle w:val="Compact"/>
            </w:pPr>
            <w:r>
              <w:t xml:space="preserve">Submits access request in SAM portal. Provides business justification and requested application/role.</w:t>
            </w:r>
          </w:p>
        </w:tc>
        <w:tc>
          <w:tcPr/>
          <w:p>
            <w:pPr>
              <w:pStyle w:val="Compact"/>
            </w:pPr>
            <w:r>
              <w:t xml:space="preserve">None — entirely upstream of Help Desk. Help Desk does not receive or process SAM portal submissions directly.</w:t>
            </w:r>
          </w:p>
        </w:tc>
      </w:tr>
      <w:tr>
        <w:tc>
          <w:tcPr/>
          <w:p>
            <w:pPr>
              <w:pStyle w:val="Compact"/>
            </w:pPr>
            <w:r>
              <w:rPr>
                <w:b/>
                <w:bCs/>
              </w:rPr>
              <w:t xml:space="preserve">Business Approver (Departmental Owner)</w:t>
            </w:r>
          </w:p>
        </w:tc>
        <w:tc>
          <w:tcPr/>
          <w:p>
            <w:pPr>
              <w:pStyle w:val="Compact"/>
            </w:pPr>
            <w:r>
              <w:t xml:space="preserve">First-level approval in SAM. Validates that the requester has a legitimate business need for the requested access.</w:t>
            </w:r>
          </w:p>
        </w:tc>
        <w:tc>
          <w:tcPr/>
          <w:p>
            <w:pPr>
              <w:pStyle w:val="Compact"/>
            </w:pPr>
            <w:r>
              <w:t xml:space="preserve">None — upstream approval. Help Desk is notified only after this approval is complete.</w:t>
            </w:r>
          </w:p>
        </w:tc>
      </w:tr>
      <w:tr>
        <w:tc>
          <w:tcPr/>
          <w:p>
            <w:pPr>
              <w:pStyle w:val="Compact"/>
            </w:pPr>
            <w:r>
              <w:rPr>
                <w:b/>
                <w:bCs/>
              </w:rPr>
              <w:t xml:space="preserve">Application Owner</w:t>
            </w:r>
          </w:p>
        </w:tc>
        <w:tc>
          <w:tcPr/>
          <w:p>
            <w:pPr>
              <w:pStyle w:val="Compact"/>
            </w:pPr>
            <w:r>
              <w:t xml:space="preserve">Second-level approval in SAM for application-specific access. Confirms the requester should be provisioned to the specific application role.</w:t>
            </w:r>
          </w:p>
        </w:tc>
        <w:tc>
          <w:tcPr/>
          <w:p>
            <w:pPr>
              <w:pStyle w:val="Compact"/>
            </w:pPr>
            <w:r>
              <w:t xml:space="preserve">Help Desk is notified via ServiceNow RITM after Application Owner approval completes. For Admin Consent escalations, Help Desk routes to Application Owner for IGO referral.</w:t>
            </w:r>
          </w:p>
        </w:tc>
      </w:tr>
      <w:tr>
        <w:tc>
          <w:tcPr/>
          <w:p>
            <w:pPr>
              <w:pStyle w:val="Compact"/>
            </w:pPr>
            <w:r>
              <w:rPr>
                <w:b/>
                <w:bCs/>
              </w:rPr>
              <w:t xml:space="preserve">Identity Governance Officer (IGO)</w:t>
            </w:r>
          </w:p>
        </w:tc>
        <w:tc>
          <w:tcPr/>
          <w:p>
            <w:pPr>
              <w:pStyle w:val="Compact"/>
            </w:pPr>
            <w:r>
              <w:t xml:space="preserve">Final approval authority in SAM for high-risk access, ImmutableID changes, and all Admin Consent matters. Acts directly for Admin Consent approvals in the Entra portal — Help Desk does not handle that action.</w:t>
            </w:r>
          </w:p>
        </w:tc>
        <w:tc>
          <w:tcPr/>
          <w:p>
            <w:pPr>
              <w:pStyle w:val="Compact"/>
            </w:pPr>
            <w:r>
              <w:t xml:space="preserve">For ImmutableID and high-risk actions: Help Desk executes the Entra action only after IGO approval appears in the ServiceNow ticket. For Admin Consent: IGO acts directly — Help Desk role is triage and escalation to Application Owner, who refers to IGO.</w:t>
            </w:r>
          </w:p>
        </w:tc>
      </w:tr>
      <w:tr>
        <w:tc>
          <w:tcPr/>
          <w:p>
            <w:pPr>
              <w:pStyle w:val="Compact"/>
            </w:pPr>
            <w:r>
              <w:rPr>
                <w:b/>
                <w:bCs/>
              </w:rPr>
              <w:t xml:space="preserve">SAM System (Automated)</w:t>
            </w:r>
          </w:p>
        </w:tc>
        <w:tc>
          <w:tcPr/>
          <w:p>
            <w:pPr>
              <w:pStyle w:val="Compact"/>
            </w:pPr>
            <w:r>
              <w:t xml:space="preserve">Provisions access via Entra ID connector for apps and groups that have a configured SAM-Entra connector with write access to the target resource.</w:t>
            </w:r>
          </w:p>
        </w:tc>
        <w:tc>
          <w:tcPr/>
          <w:p>
            <w:pPr>
              <w:pStyle w:val="Compact"/>
            </w:pPr>
            <w:r>
              <w:t xml:space="preserve">Help Desk handles residual manual steps SAM cannot automate — primarily Enterprise Application group assignments where the SAM connector lacks write access to app role assignments, and ImmutableID operations requiring PowerShell.</w:t>
            </w:r>
          </w:p>
        </w:tc>
      </w:tr>
      <w:tr>
        <w:tc>
          <w:tcPr/>
          <w:p>
            <w:pPr>
              <w:pStyle w:val="Compact"/>
            </w:pPr>
            <w:r>
              <w:rPr>
                <w:b/>
                <w:bCs/>
              </w:rPr>
              <w:t xml:space="preserve">Help Desk Operator</w:t>
            </w:r>
          </w:p>
        </w:tc>
        <w:tc>
          <w:tcPr/>
          <w:p>
            <w:pPr>
              <w:pStyle w:val="Compact"/>
            </w:pPr>
            <w:r>
              <w:t xml:space="preserve">Receives ServiceNow RITM task after all required SAM approvals are complete. Executes the Entra action. Resolves the task with full documentation.</w:t>
            </w:r>
          </w:p>
        </w:tc>
        <w:tc>
          <w:tcPr/>
          <w:p>
            <w:pPr>
              <w:pStyle w:val="Compact"/>
            </w:pPr>
            <w:r>
              <w:t xml:space="preserve">Performs PIM elevation, executes action in Entra portal or PowerShell, validates result, documents in ServiceNow, and resolves ticket.</w:t>
            </w:r>
          </w:p>
        </w:tc>
      </w:tr>
    </w:tbl>
    <w:bookmarkEnd w:id="38"/>
    <w:bookmarkStart w:id="39" w:name="how-sam-auto-routes-to-servicenow"/>
    <w:p>
      <w:pPr>
        <w:pStyle w:val="Heading3"/>
      </w:pPr>
      <w:r>
        <w:t xml:space="preserve">How SAM auto-routes to ServiceNow</w:t>
      </w:r>
    </w:p>
    <w:p>
      <w:pPr>
        <w:pStyle w:val="FirstParagraph"/>
      </w:pPr>
      <w:r>
        <w:t xml:space="preserve">Help Desk personnel do not execute any Entra action until all three of the</w:t>
      </w:r>
      <w:r>
        <w:t xml:space="preserve"> </w:t>
      </w:r>
      <w:r>
        <w:t xml:space="preserve">following conditions are met:</w:t>
      </w:r>
    </w:p>
    <w:p>
      <w:pPr>
        <w:pStyle w:val="Compact"/>
        <w:numPr>
          <w:ilvl w:val="0"/>
          <w:numId w:val="1006"/>
        </w:numPr>
      </w:pPr>
      <w:r>
        <w:rPr>
          <w:b/>
          <w:bCs/>
        </w:rPr>
        <w:t xml:space="preserve">SAM shows the request as fully approved</w:t>
      </w:r>
      <w:r>
        <w:t xml:space="preserve"> </w:t>
      </w:r>
      <w:r>
        <w:t xml:space="preserve">— all approval stages in the SAM</w:t>
      </w:r>
      <w:r>
        <w:t xml:space="preserve"> </w:t>
      </w:r>
      <w:r>
        <w:t xml:space="preserve">workflow are in</w:t>
      </w:r>
      <w:r>
        <w:t xml:space="preserve"> </w:t>
      </w:r>
      <w:r>
        <w:t xml:space="preserve">“Approved”</w:t>
      </w:r>
      <w:r>
        <w:t xml:space="preserve"> </w:t>
      </w:r>
      <w:r>
        <w:t xml:space="preserve">status. If any stage is pending, incomplete, or</w:t>
      </w:r>
      <w:r>
        <w:t xml:space="preserve"> </w:t>
      </w:r>
      <w:r>
        <w:t xml:space="preserve">returned, Help Desk waits. Help Desk does not contact SAM actors to expedite</w:t>
      </w:r>
      <w:r>
        <w:t xml:space="preserve"> </w:t>
      </w:r>
      <w:r>
        <w:t xml:space="preserve">approvals.</w:t>
      </w:r>
    </w:p>
    <w:p>
      <w:pPr>
        <w:pStyle w:val="Compact"/>
        <w:numPr>
          <w:ilvl w:val="0"/>
          <w:numId w:val="1006"/>
        </w:numPr>
      </w:pPr>
      <w:r>
        <w:rPr>
          <w:b/>
          <w:bCs/>
        </w:rPr>
        <w:t xml:space="preserve">A ServiceNow RITM task is in the Help Desk queue in</w:t>
      </w:r>
      <w:r>
        <w:rPr>
          <w:b/>
          <w:bCs/>
        </w:rPr>
        <w:t xml:space="preserve"> </w:t>
      </w:r>
      <w:r>
        <w:rPr>
          <w:b/>
          <w:bCs/>
        </w:rPr>
        <w:t xml:space="preserve">“Assigned”</w:t>
      </w:r>
      <w:r>
        <w:rPr>
          <w:b/>
          <w:bCs/>
        </w:rPr>
        <w:t xml:space="preserve"> </w:t>
      </w:r>
      <w:r>
        <w:rPr>
          <w:b/>
          <w:bCs/>
        </w:rPr>
        <w:t xml:space="preserve">status</w:t>
      </w:r>
      <w:r>
        <w:t xml:space="preserve"> </w:t>
      </w:r>
      <w:r>
        <w:t xml:space="preserve">— the</w:t>
      </w:r>
      <w:r>
        <w:t xml:space="preserve"> </w:t>
      </w:r>
      <w:r>
        <w:t xml:space="preserve">task has been generated by SAM’s ServiceNow integration, assigned to the Help</w:t>
      </w:r>
      <w:r>
        <w:t xml:space="preserve"> </w:t>
      </w:r>
      <w:r>
        <w:t xml:space="preserve">Desk group, and is actively awaiting action. Tickets in</w:t>
      </w:r>
      <w:r>
        <w:t xml:space="preserve"> </w:t>
      </w:r>
      <w:r>
        <w:t xml:space="preserve">“New,”</w:t>
      </w:r>
      <w:r>
        <w:t xml:space="preserve"> </w:t>
      </w:r>
      <w:r>
        <w:t xml:space="preserve">“Pending</w:t>
      </w:r>
      <w:r>
        <w:t xml:space="preserve"> </w:t>
      </w:r>
      <w:r>
        <w:t xml:space="preserve">Approval,”</w:t>
      </w:r>
      <w:r>
        <w:t xml:space="preserve"> </w:t>
      </w:r>
      <w:r>
        <w:t xml:space="preserve">or</w:t>
      </w:r>
      <w:r>
        <w:t xml:space="preserve"> </w:t>
      </w:r>
      <w:r>
        <w:t xml:space="preserve">“On Hold”</w:t>
      </w:r>
      <w:r>
        <w:t xml:space="preserve"> </w:t>
      </w:r>
      <w:r>
        <w:t xml:space="preserve">status are not ready for action.</w:t>
      </w:r>
    </w:p>
    <w:p>
      <w:pPr>
        <w:pStyle w:val="Compact"/>
        <w:numPr>
          <w:ilvl w:val="0"/>
          <w:numId w:val="1006"/>
        </w:numPr>
      </w:pPr>
      <w:r>
        <w:rPr>
          <w:b/>
          <w:bCs/>
        </w:rPr>
        <w:t xml:space="preserve">The RITM contains all required metadata</w:t>
      </w:r>
      <w:r>
        <w:t xml:space="preserve"> </w:t>
      </w:r>
      <w:r>
        <w:t xml:space="preserve">— the ticket must include: the full</w:t>
      </w:r>
      <w:r>
        <w:t xml:space="preserve"> </w:t>
      </w:r>
      <w:r>
        <w:t xml:space="preserve">approval chain (all approver names and approval timestamps), the requester’s</w:t>
      </w:r>
      <w:r>
        <w:t xml:space="preserve"> </w:t>
      </w:r>
      <w:r>
        <w:t xml:space="preserve">name and UPN, the target application name, the risk tier assigned by SAM, and</w:t>
      </w:r>
      <w:r>
        <w:t xml:space="preserve"> </w:t>
      </w:r>
      <w:r>
        <w:t xml:space="preserve">the specific action required of Help Desk.</w:t>
      </w:r>
    </w:p>
    <w:p>
      <w:pPr>
        <w:pStyle w:val="FirstParagraph"/>
      </w:pPr>
      <w:r>
        <w:t xml:space="preserve">If any of these conditions is not met, Help Desk must place the ticket On Hold and</w:t>
      </w:r>
      <w:r>
        <w:t xml:space="preserve"> </w:t>
      </w:r>
      <w:r>
        <w:t xml:space="preserve">contact the SAM team or Help Desk Supervisor. Help Desk may not proceed on partial</w:t>
      </w:r>
      <w:r>
        <w:t xml:space="preserve"> </w:t>
      </w:r>
      <w:r>
        <w:t xml:space="preserve">information.</w:t>
      </w:r>
    </w:p>
    <w:bookmarkEnd w:id="39"/>
    <w:bookmarkStart w:id="40" w:name="X5204b20b0a1e8906afdbbaf2f65d377c77adaa7"/>
    <w:p>
      <w:pPr>
        <w:pStyle w:val="Heading3"/>
      </w:pPr>
      <w:r>
        <w:t xml:space="preserve">SAM automation vs. Help Desk manual action</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Action</w:t>
            </w:r>
          </w:p>
        </w:tc>
        <w:tc>
          <w:tcPr/>
          <w:p>
            <w:pPr>
              <w:pStyle w:val="Compact"/>
            </w:pPr>
            <w:r>
              <w:rPr>
                <w:b/>
                <w:bCs/>
              </w:rPr>
              <w:t xml:space="preserve">Why SAM cannot automate</w:t>
            </w:r>
          </w:p>
        </w:tc>
        <w:tc>
          <w:tcPr/>
          <w:p>
            <w:pPr>
              <w:pStyle w:val="Compact"/>
            </w:pPr>
            <w:r>
              <w:rPr>
                <w:b/>
                <w:bCs/>
              </w:rPr>
              <w:t xml:space="preserve">Help Desk action required</w:t>
            </w:r>
          </w:p>
        </w:tc>
        <w:tc>
          <w:tcPr/>
          <w:p>
            <w:pPr>
              <w:pStyle w:val="Compact"/>
            </w:pPr>
            <w:r>
              <w:rPr>
                <w:b/>
                <w:bCs/>
              </w:rPr>
              <w:t xml:space="preserve">PIM role required</w:t>
            </w:r>
          </w:p>
        </w:tc>
      </w:tr>
      <w:tr>
        <w:tc>
          <w:tcPr/>
          <w:p>
            <w:pPr>
              <w:pStyle w:val="Compact"/>
            </w:pPr>
            <w:r>
              <w:t xml:space="preserve">Admin Consent approval</w:t>
            </w:r>
          </w:p>
        </w:tc>
        <w:tc>
          <w:tcPr/>
          <w:p>
            <w:pPr>
              <w:pStyle w:val="Compact"/>
            </w:pPr>
            <w:r>
              <w:t xml:space="preserve">Requires a human administrator action in the Entra portal with Global Admin or Privileged Role Administrator rights. Cannot be scripted via SAM connector safely.</w:t>
            </w:r>
          </w:p>
        </w:tc>
        <w:tc>
          <w:tcPr/>
          <w:p>
            <w:pPr>
              <w:pStyle w:val="Compact"/>
            </w:pPr>
            <w:r>
              <w:rPr>
                <w:b/>
                <w:bCs/>
              </w:rPr>
              <w:t xml:space="preserve">ESCALATE ONLY</w:t>
            </w:r>
            <w:r>
              <w:t xml:space="preserve"> </w:t>
            </w:r>
            <w:r>
              <w:t xml:space="preserve">— Help Desk triages, documents, and escalates to IGO via Application Owner. IGO acts directly. Help Desk documents outcome.</w:t>
            </w:r>
          </w:p>
        </w:tc>
        <w:tc>
          <w:tcPr/>
          <w:p>
            <w:pPr>
              <w:pStyle w:val="Compact"/>
            </w:pPr>
            <w:r>
              <w:t xml:space="preserve">N/A — Help Desk does not perform this action.</w:t>
            </w:r>
          </w:p>
        </w:tc>
      </w:tr>
      <w:tr>
        <w:tc>
          <w:tcPr/>
          <w:p>
            <w:pPr>
              <w:pStyle w:val="Compact"/>
            </w:pPr>
            <w:r>
              <w:t xml:space="preserve">Group assignment to Enterprise Application role</w:t>
            </w:r>
          </w:p>
        </w:tc>
        <w:tc>
          <w:tcPr/>
          <w:p>
            <w:pPr>
              <w:pStyle w:val="Compact"/>
            </w:pPr>
            <w:r>
              <w:t xml:space="preserve">SAM Entra connector may lack write access to app role assignment endpoint for specific applications. Not all apps are connector-provisioned.</w:t>
            </w:r>
          </w:p>
        </w:tc>
        <w:tc>
          <w:tcPr/>
          <w:p>
            <w:pPr>
              <w:pStyle w:val="Compact"/>
            </w:pPr>
            <w:r>
              <w:t xml:space="preserve">Assign the SAM-approved group to the specified app role in Entra Enterprise Apps blade.</w:t>
            </w:r>
          </w:p>
        </w:tc>
        <w:tc>
          <w:tcPr/>
          <w:p>
            <w:pPr>
              <w:pStyle w:val="Compact"/>
            </w:pPr>
            <w:r>
              <w:t xml:space="preserve">Yes — Application Administrator</w:t>
            </w:r>
          </w:p>
        </w:tc>
      </w:tr>
      <w:tr>
        <w:tc>
          <w:tcPr/>
          <w:p>
            <w:pPr>
              <w:pStyle w:val="Compact"/>
            </w:pPr>
            <w:r>
              <w:t xml:space="preserve">ImmutableID reset</w:t>
            </w:r>
          </w:p>
        </w:tc>
        <w:tc>
          <w:tcPr/>
          <w:p>
            <w:pPr>
              <w:pStyle w:val="Compact"/>
            </w:pPr>
            <w:r>
              <w:t xml:space="preserve">Requires PowerShell operations on cloud object (Set-MsolUser or Microsoft Graph). Cannot be executed by SAM connector. High risk — requires human judgment.</w:t>
            </w:r>
          </w:p>
        </w:tc>
        <w:tc>
          <w:tcPr/>
          <w:p>
            <w:pPr>
              <w:pStyle w:val="Compact"/>
            </w:pPr>
            <w:r>
              <w:t xml:space="preserve">Execute ImmutableID reset via PowerShell after Identity Engineering Lead and IGO approval. See the Hybrid identity operations section.</w:t>
            </w:r>
          </w:p>
        </w:tc>
        <w:tc>
          <w:tcPr/>
          <w:p>
            <w:pPr>
              <w:pStyle w:val="Compact"/>
            </w:pPr>
            <w:r>
              <w:t xml:space="preserve">Yes — Hybrid Identity Administrator</w:t>
            </w:r>
          </w:p>
        </w:tc>
      </w:tr>
      <w:tr>
        <w:tc>
          <w:tcPr/>
          <w:p>
            <w:pPr>
              <w:pStyle w:val="Compact"/>
            </w:pPr>
            <w:r>
              <w:t xml:space="preserve">MFA method reset</w:t>
            </w:r>
          </w:p>
        </w:tc>
        <w:tc>
          <w:tcPr/>
          <w:p>
            <w:pPr>
              <w:pStyle w:val="Compact"/>
            </w:pPr>
            <w:r>
              <w:t xml:space="preserve">Requires Authentication Administrator role action in Entra portal. SAM connector does not have authentication method management capability.</w:t>
            </w:r>
          </w:p>
        </w:tc>
        <w:tc>
          <w:tcPr/>
          <w:p>
            <w:pPr>
              <w:pStyle w:val="Compact"/>
            </w:pPr>
            <w:r>
              <w:t xml:space="preserve">Reset specified authentication methods via Entra Portal → Users → Authentication Methods.</w:t>
            </w:r>
          </w:p>
        </w:tc>
        <w:tc>
          <w:tcPr/>
          <w:p>
            <w:pPr>
              <w:pStyle w:val="Compact"/>
            </w:pPr>
            <w:r>
              <w:t xml:space="preserve">Yes — Authentication Administrator (optional role)</w:t>
            </w:r>
          </w:p>
        </w:tc>
      </w:tr>
      <w:tr>
        <w:tc>
          <w:tcPr/>
          <w:p>
            <w:pPr>
              <w:pStyle w:val="Compact"/>
            </w:pPr>
            <w:r>
              <w:t xml:space="preserve">OneDrive provisioning trigger</w:t>
            </w:r>
          </w:p>
        </w:tc>
        <w:tc>
          <w:tcPr/>
          <w:p>
            <w:pPr>
              <w:pStyle w:val="Compact"/>
            </w:pPr>
            <w:r>
              <w:t xml:space="preserve">Provisioning trigger requires M365 Admin Center access. SAM provisions the license but may not trigger the storage provisioning event.</w:t>
            </w:r>
          </w:p>
        </w:tc>
        <w:tc>
          <w:tcPr/>
          <w:p>
            <w:pPr>
              <w:pStyle w:val="Compact"/>
            </w:pPr>
            <w:r>
              <w:t xml:space="preserve">Trigger provisioning via M365 Admin Center → Users → [User] → OneDrive tab.</w:t>
            </w:r>
          </w:p>
        </w:tc>
        <w:tc>
          <w:tcPr/>
          <w:p>
            <w:pPr>
              <w:pStyle w:val="Compact"/>
            </w:pPr>
            <w:r>
              <w:t xml:space="preserve">No — M365 Admin Center action (non-PIM)</w:t>
            </w:r>
          </w:p>
        </w:tc>
      </w:tr>
      <w:tr>
        <w:tc>
          <w:tcPr/>
          <w:p>
            <w:pPr>
              <w:pStyle w:val="Compact"/>
            </w:pPr>
            <w:r>
              <w:t xml:space="preserve">Entra group creation</w:t>
            </w:r>
          </w:p>
        </w:tc>
        <w:tc>
          <w:tcPr/>
          <w:p>
            <w:pPr>
              <w:pStyle w:val="Compact"/>
            </w:pPr>
            <w:r>
              <w:t xml:space="preserve">SAM flags the need for a new Entra group but cannot create it in tenants where group creation policy restricts creation to Identity Engineering.</w:t>
            </w:r>
          </w:p>
        </w:tc>
        <w:tc>
          <w:tcPr/>
          <w:p>
            <w:pPr>
              <w:pStyle w:val="Compact"/>
            </w:pPr>
            <w:r>
              <w:t xml:space="preserve">Create Entra security group per naming convention documented by Identity Engineering. Confirm with SAM team after creation.</w:t>
            </w:r>
          </w:p>
        </w:tc>
        <w:tc>
          <w:tcPr/>
          <w:p>
            <w:pPr>
              <w:pStyle w:val="Compact"/>
            </w:pPr>
            <w:r>
              <w:t xml:space="preserve">No — Groups Administrator (if assigned) or via Identity Engineering</w:t>
            </w:r>
          </w:p>
        </w:tc>
      </w:tr>
    </w:tbl>
    <w:bookmarkEnd w:id="40"/>
    <w:bookmarkEnd w:id="41"/>
    <w:bookmarkStart w:id="54" w:name="incoming-request-types"/>
    <w:p>
      <w:pPr>
        <w:pStyle w:val="Heading2"/>
      </w:pPr>
      <w:r>
        <w:t xml:space="preserve">Incoming request types</w:t>
      </w:r>
    </w:p>
    <w:bookmarkStart w:id="46" w:name="microsoft-security-notifications"/>
    <w:p>
      <w:pPr>
        <w:pStyle w:val="Heading3"/>
      </w:pPr>
      <w:r>
        <w:t xml:space="preserve">Microsoft Security notifications</w:t>
      </w:r>
    </w:p>
    <w:bookmarkStart w:id="44" w:name="what-these-notifications-are"/>
    <w:p>
      <w:pPr>
        <w:pStyle w:val="Heading4"/>
      </w:pPr>
      <w:r>
        <w:t xml:space="preserve">What these notifications are</w:t>
      </w:r>
    </w:p>
    <w:p>
      <w:pPr>
        <w:pStyle w:val="FirstParagraph"/>
      </w:pPr>
      <w:r>
        <w:t xml:space="preserve">Microsoft generates automated security and consent-related email notifications to</w:t>
      </w:r>
      <w:r>
        <w:t xml:space="preserve"> </w:t>
      </w:r>
      <w:r>
        <w:t xml:space="preserve">tenant administrators and users. These messages originate from the sender address</w:t>
      </w:r>
      <w:r>
        <w:t xml:space="preserve"> </w:t>
      </w:r>
      <w:r>
        <w:rPr>
          <w:b/>
          <w:bCs/>
        </w:rPr>
        <w:t xml:space="preserve">MSSecurity-noreply@microsoft.com</w:t>
      </w:r>
      <w:r>
        <w:t xml:space="preserve">. Common notification types include: Admin</w:t>
      </w:r>
      <w:r>
        <w:t xml:space="preserve"> </w:t>
      </w:r>
      <w:r>
        <w:t xml:space="preserve">Consent request notifications (sent when a user requests consent for an</w:t>
      </w:r>
      <w:r>
        <w:t xml:space="preserve"> </w:t>
      </w:r>
      <w:r>
        <w:t xml:space="preserve">application and the tenant is configured to require admin approval), sign-in risk</w:t>
      </w:r>
      <w:r>
        <w:t xml:space="preserve"> </w:t>
      </w:r>
      <w:r>
        <w:t xml:space="preserve">alerts, identity protection risk detections, and service health notifications.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42" name="Picture"/>
                  <a:graphic>
                    <a:graphicData uri="http://schemas.openxmlformats.org/drawingml/2006/picture">
                      <pic:pic>
                        <pic:nvPicPr>
                          <pic:cNvPr descr="/opt/quarto/share/formats/docx/warning.png" id="43"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Admin Consent emails</w:t>
            </w:r>
          </w:p>
        </w:tc>
      </w:tr>
      <w:tr>
        <w:trPr>
          <w:cantSplit/>
        </w:trPr>
        <w:tc>
          <w:tcPr>
            <w:tcMar>
              <w:top w:w="108" w:type="dxa"/>
              <w:bottom w:w="108" w:type="dxa"/>
            </w:tcMar>
          </w:tcPr>
          <w:p>
            <w:pPr>
              <w:pStyle w:val="BodyText"/>
            </w:pPr>
            <w:pPr>
              <w:spacing w:before="16" w:after="16"/>
            </w:pPr>
            <w:r>
              <w:t xml:space="preserve">Help Desk personnel who receive or are forwarded a Microsoft Admin Consent request</w:t>
            </w:r>
            <w:r>
              <w:t xml:space="preserve"> </w:t>
            </w:r>
            <w:r>
              <w:t xml:space="preserve">email</w:t>
            </w:r>
            <w:r>
              <w:t xml:space="preserve"> </w:t>
            </w:r>
            <w:r>
              <w:rPr>
                <w:b/>
                <w:bCs/>
              </w:rPr>
              <w:t xml:space="preserve">must NOT</w:t>
            </w:r>
            <w:r>
              <w:t xml:space="preserve"> </w:t>
            </w:r>
            <w:r>
              <w:t xml:space="preserve">click the</w:t>
            </w:r>
            <w:r>
              <w:t xml:space="preserve"> </w:t>
            </w:r>
            <w:r>
              <w:t xml:space="preserve">“Review permissions”</w:t>
            </w:r>
            <w:r>
              <w:t xml:space="preserve"> </w:t>
            </w:r>
            <w:r>
              <w:t xml:space="preserve">or</w:t>
            </w:r>
            <w:r>
              <w:t xml:space="preserve"> </w:t>
            </w:r>
            <w:r>
              <w:t xml:space="preserve">“Approve”</w:t>
            </w:r>
            <w:r>
              <w:t xml:space="preserve"> </w:t>
            </w:r>
            <w:r>
              <w:t xml:space="preserve">link and approve</w:t>
            </w:r>
            <w:r>
              <w:t xml:space="preserve"> </w:t>
            </w:r>
            <w:r>
              <w:t xml:space="preserve">the consent grant. These links, if followed and approved by a Help Desk account</w:t>
            </w:r>
            <w:r>
              <w:t xml:space="preserve"> </w:t>
            </w:r>
            <w:r>
              <w:t xml:space="preserve">with Application Administrator role activated, may execute a consent grant with</w:t>
            </w:r>
            <w:r>
              <w:t xml:space="preserve"> </w:t>
            </w:r>
            <w:r>
              <w:t xml:space="preserve">elevated scope. Forward the email to the Application Owner and document in</w:t>
            </w:r>
            <w:r>
              <w:t xml:space="preserve"> </w:t>
            </w:r>
            <w:r>
              <w:t xml:space="preserve">ServiceNow. Do not action the email. See the Admin Consent triage workflow for the</w:t>
            </w:r>
            <w:r>
              <w:t xml:space="preserve"> </w:t>
            </w:r>
            <w:r>
              <w:t xml:space="preserve">full procedure.</w:t>
            </w:r>
          </w:p>
          <w:p/>
        </w:tc>
      </w:tr>
    </w:tbl>
    <w:bookmarkEnd w:id="44"/>
    <w:bookmarkStart w:id="45" w:name="Xe498c04cb999df8a479acac5a1cca71007f18c5"/>
    <w:p>
      <w:pPr>
        <w:pStyle w:val="Heading4"/>
      </w:pPr>
      <w:r>
        <w:t xml:space="preserve">Help Desk triage steps for Microsoft Security notifications</w:t>
      </w:r>
    </w:p>
    <w:p>
      <w:pPr>
        <w:pStyle w:val="Compact"/>
        <w:numPr>
          <w:ilvl w:val="0"/>
          <w:numId w:val="1007"/>
        </w:numPr>
      </w:pPr>
      <w:r>
        <w:rPr>
          <w:b/>
          <w:bCs/>
        </w:rPr>
        <w:t xml:space="preserve">Validate legitimacy</w:t>
      </w:r>
      <w:r>
        <w:t xml:space="preserve"> </w:t>
      </w:r>
      <w:r>
        <w:t xml:space="preserve">— Confirm the email sender is exactly</w:t>
      </w:r>
      <w:r>
        <w:t xml:space="preserve"> </w:t>
      </w:r>
      <w:r>
        <w:rPr>
          <w:b/>
          <w:bCs/>
        </w:rPr>
        <w:t xml:space="preserve">MSSecurity-noreply@microsoft.com</w:t>
      </w:r>
      <w:r>
        <w:t xml:space="preserve">. Spoofed addresses may use similar but</w:t>
      </w:r>
      <w:r>
        <w:t xml:space="preserve"> </w:t>
      </w:r>
      <w:r>
        <w:t xml:space="preserve">distinct domains. If the domain is not microsoft.com, treat as phishing and</w:t>
      </w:r>
      <w:r>
        <w:t xml:space="preserve"> </w:t>
      </w:r>
      <w:r>
        <w:t xml:space="preserve">report to the SOC.</w:t>
      </w:r>
    </w:p>
    <w:p>
      <w:pPr>
        <w:pStyle w:val="Compact"/>
        <w:numPr>
          <w:ilvl w:val="0"/>
          <w:numId w:val="1007"/>
        </w:numPr>
      </w:pPr>
      <w:r>
        <w:rPr>
          <w:b/>
          <w:bCs/>
        </w:rPr>
        <w:t xml:space="preserve">Identify notification type</w:t>
      </w:r>
      <w:r>
        <w:t xml:space="preserve"> </w:t>
      </w:r>
      <w:r>
        <w:t xml:space="preserve">— Is this an Admin Consent request, a risk</w:t>
      </w:r>
      <w:r>
        <w:t xml:space="preserve"> </w:t>
      </w:r>
      <w:r>
        <w:t xml:space="preserve">alert, an identity protection detection, or a service health notice?</w:t>
      </w:r>
    </w:p>
    <w:p>
      <w:pPr>
        <w:pStyle w:val="Compact"/>
        <w:numPr>
          <w:ilvl w:val="0"/>
          <w:numId w:val="1007"/>
        </w:numPr>
      </w:pPr>
      <w:r>
        <w:rPr>
          <w:b/>
          <w:bCs/>
        </w:rPr>
        <w:t xml:space="preserve">Check Entra Audit Logs</w:t>
      </w:r>
      <w:r>
        <w:t xml:space="preserve"> </w:t>
      </w:r>
      <w:r>
        <w:t xml:space="preserve">— Navigate to Entra Portal → Monitoring → Audit</w:t>
      </w:r>
      <w:r>
        <w:t xml:space="preserve"> </w:t>
      </w:r>
      <w:r>
        <w:t xml:space="preserve">Logs. Filter by the relevant user or application. Confirm whether any action</w:t>
      </w:r>
      <w:r>
        <w:t xml:space="preserve"> </w:t>
      </w:r>
      <w:r>
        <w:t xml:space="preserve">has already been taken in the tenant (e.g., a consent grant already executed).</w:t>
      </w:r>
    </w:p>
    <w:p>
      <w:pPr>
        <w:pStyle w:val="Compact"/>
        <w:numPr>
          <w:ilvl w:val="0"/>
          <w:numId w:val="1007"/>
        </w:numPr>
      </w:pPr>
      <w:r>
        <w:rPr>
          <w:b/>
          <w:bCs/>
        </w:rPr>
        <w:t xml:space="preserve">Do NOT approve</w:t>
      </w:r>
      <w:r>
        <w:t xml:space="preserve"> </w:t>
      </w:r>
      <w:r>
        <w:t xml:space="preserve">Admin Consent grants based on the email. See the Admin</w:t>
      </w:r>
      <w:r>
        <w:t xml:space="preserve"> </w:t>
      </w:r>
      <w:r>
        <w:t xml:space="preserve">Consent triage workflow.</w:t>
      </w:r>
    </w:p>
    <w:p>
      <w:pPr>
        <w:pStyle w:val="Compact"/>
        <w:numPr>
          <w:ilvl w:val="0"/>
          <w:numId w:val="1007"/>
        </w:numPr>
      </w:pPr>
      <w:r>
        <w:rPr>
          <w:b/>
          <w:bCs/>
        </w:rPr>
        <w:t xml:space="preserve">Create or update ServiceNow ticket</w:t>
      </w:r>
      <w:r>
        <w:t xml:space="preserve"> </w:t>
      </w:r>
      <w:r>
        <w:t xml:space="preserve">— Document the notification, your triage</w:t>
      </w:r>
      <w:r>
        <w:t xml:space="preserve"> </w:t>
      </w:r>
      <w:r>
        <w:t xml:space="preserve">findings, and your escalation action.</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Notification type</w:t>
            </w:r>
          </w:p>
        </w:tc>
        <w:tc>
          <w:tcPr/>
          <w:p>
            <w:pPr>
              <w:pStyle w:val="Compact"/>
            </w:pPr>
            <w:r>
              <w:rPr>
                <w:b/>
                <w:bCs/>
              </w:rPr>
              <w:t xml:space="preserve">Help Desk action</w:t>
            </w:r>
          </w:p>
        </w:tc>
        <w:tc>
          <w:tcPr/>
          <w:p>
            <w:pPr>
              <w:pStyle w:val="Compact"/>
            </w:pPr>
            <w:r>
              <w:rPr>
                <w:b/>
                <w:bCs/>
              </w:rPr>
              <w:t xml:space="preserve">Escalation path</w:t>
            </w:r>
          </w:p>
        </w:tc>
      </w:tr>
      <w:tr>
        <w:tc>
          <w:tcPr/>
          <w:p>
            <w:pPr>
              <w:pStyle w:val="Compact"/>
            </w:pPr>
            <w:r>
              <w:t xml:space="preserve">Admin Consent request</w:t>
            </w:r>
          </w:p>
        </w:tc>
        <w:tc>
          <w:tcPr/>
          <w:p>
            <w:pPr>
              <w:pStyle w:val="Compact"/>
            </w:pPr>
            <w:r>
              <w:t xml:space="preserve">Triage and escalate. Do NOT approve.</w:t>
            </w:r>
          </w:p>
        </w:tc>
        <w:tc>
          <w:tcPr/>
          <w:p>
            <w:pPr>
              <w:pStyle w:val="Compact"/>
            </w:pPr>
            <w:r>
              <w:t xml:space="preserve">Application Owner → IGO. See the Admin Consent triage workflow.</w:t>
            </w:r>
          </w:p>
        </w:tc>
      </w:tr>
      <w:tr>
        <w:tc>
          <w:tcPr/>
          <w:p>
            <w:pPr>
              <w:pStyle w:val="Compact"/>
            </w:pPr>
            <w:r>
              <w:t xml:space="preserve">Sign-in risk alert (user risk elevated)</w:t>
            </w:r>
          </w:p>
        </w:tc>
        <w:tc>
          <w:tcPr/>
          <w:p>
            <w:pPr>
              <w:pStyle w:val="Compact"/>
            </w:pPr>
            <w:r>
              <w:t xml:space="preserve">Check sign-in logs. If confirmed compromise risk, place account on hold and escalate.</w:t>
            </w:r>
          </w:p>
        </w:tc>
        <w:tc>
          <w:tcPr/>
          <w:p>
            <w:pPr>
              <w:pStyle w:val="Compact"/>
            </w:pPr>
            <w:r>
              <w:t xml:space="preserve">Security Operations Center (SOC) + Help Desk Supervisor</w:t>
            </w:r>
          </w:p>
        </w:tc>
      </w:tr>
      <w:tr>
        <w:tc>
          <w:tcPr/>
          <w:p>
            <w:pPr>
              <w:pStyle w:val="Compact"/>
            </w:pPr>
            <w:r>
              <w:t xml:space="preserve">Identity Protection risk detection</w:t>
            </w:r>
          </w:p>
        </w:tc>
        <w:tc>
          <w:tcPr/>
          <w:p>
            <w:pPr>
              <w:pStyle w:val="Compact"/>
            </w:pPr>
            <w:r>
              <w:t xml:space="preserve">Document detection. Do not remediate risk policy settings.</w:t>
            </w:r>
          </w:p>
        </w:tc>
        <w:tc>
          <w:tcPr/>
          <w:p>
            <w:pPr>
              <w:pStyle w:val="Compact"/>
            </w:pPr>
            <w:r>
              <w:t xml:space="preserve">Security Operations / Identity Engineering</w:t>
            </w:r>
          </w:p>
        </w:tc>
      </w:tr>
      <w:tr>
        <w:tc>
          <w:tcPr/>
          <w:p>
            <w:pPr>
              <w:pStyle w:val="Compact"/>
            </w:pPr>
            <w:r>
              <w:t xml:space="preserve">Service health / outage notification</w:t>
            </w:r>
          </w:p>
        </w:tc>
        <w:tc>
          <w:tcPr/>
          <w:p>
            <w:pPr>
              <w:pStyle w:val="Compact"/>
            </w:pPr>
            <w:r>
              <w:t xml:space="preserve">Check M365 Service Health Dashboard. Correlate with active user-reported issues.</w:t>
            </w:r>
          </w:p>
        </w:tc>
        <w:tc>
          <w:tcPr/>
          <w:p>
            <w:pPr>
              <w:pStyle w:val="Compact"/>
            </w:pPr>
            <w:r>
              <w:t xml:space="preserve">Notify Help Desk Supervisor. Update open tickets with known-issue note.</w:t>
            </w:r>
          </w:p>
        </w:tc>
      </w:tr>
    </w:tbl>
    <w:bookmarkEnd w:id="45"/>
    <w:bookmarkEnd w:id="46"/>
    <w:bookmarkStart w:id="53" w:name="servicenow-request-types"/>
    <w:p>
      <w:pPr>
        <w:pStyle w:val="Heading3"/>
      </w:pPr>
      <w:r>
        <w:t xml:space="preserve">ServiceNow request types</w:t>
      </w:r>
    </w:p>
    <w:p>
      <w:pPr>
        <w:pStyle w:val="FirstParagraph"/>
      </w:pPr>
      <w:r>
        <w:t xml:space="preserve">The following RITM types may appear in the Help Desk ServiceNow queue. Each is</w:t>
      </w:r>
      <w:r>
        <w:t xml:space="preserve"> </w:t>
      </w:r>
      <w:r>
        <w:t xml:space="preserve">described with the required validation, approval authority, and resolution steps.</w:t>
      </w:r>
    </w:p>
    <w:bookmarkStart w:id="47" w:name="X5a04288013809d3f303ad4c75c85c220161cf7e"/>
    <w:p>
      <w:pPr>
        <w:pStyle w:val="Heading4"/>
      </w:pPr>
      <w:r>
        <w:t xml:space="preserve">SAM-generated RITM — Enterprise Application group access request</w:t>
      </w:r>
    </w:p>
    <w:p>
      <w:pPr>
        <w:pStyle w:val="Compact"/>
        <w:numPr>
          <w:ilvl w:val="0"/>
          <w:numId w:val="1008"/>
        </w:numPr>
      </w:pPr>
      <w:r>
        <w:rPr>
          <w:b/>
          <w:bCs/>
        </w:rPr>
        <w:t xml:space="preserve">Description:</w:t>
      </w:r>
      <w:r>
        <w:t xml:space="preserve"> </w:t>
      </w:r>
      <w:r>
        <w:t xml:space="preserve">A user or group has been approved in SAM for access to an</w:t>
      </w:r>
      <w:r>
        <w:t xml:space="preserve"> </w:t>
      </w:r>
      <w:r>
        <w:t xml:space="preserve">Enterprise Application. The SAM-Entra connector could not automate the group</w:t>
      </w:r>
      <w:r>
        <w:t xml:space="preserve"> </w:t>
      </w:r>
      <w:r>
        <w:t xml:space="preserve">assignment. ServiceNow RITM is auto-created and assigned to Help Desk.</w:t>
      </w:r>
    </w:p>
    <w:p>
      <w:pPr>
        <w:pStyle w:val="Compact"/>
        <w:numPr>
          <w:ilvl w:val="0"/>
          <w:numId w:val="1008"/>
        </w:numPr>
      </w:pPr>
      <w:r>
        <w:rPr>
          <w:b/>
          <w:bCs/>
        </w:rPr>
        <w:t xml:space="preserve">Required validation:</w:t>
      </w:r>
      <w:r>
        <w:t xml:space="preserve"> </w:t>
      </w:r>
      <w:r>
        <w:t xml:space="preserve">Confirm SAM request status is</w:t>
      </w:r>
      <w:r>
        <w:t xml:space="preserve"> </w:t>
      </w:r>
      <w:r>
        <w:t xml:space="preserve">“Fully Approved.”</w:t>
      </w:r>
      <w:r>
        <w:t xml:space="preserve"> </w:t>
      </w:r>
      <w:r>
        <w:t xml:space="preserve">Confirm</w:t>
      </w:r>
      <w:r>
        <w:t xml:space="preserve"> </w:t>
      </w:r>
      <w:r>
        <w:t xml:space="preserve">the group name in the RITM matches an existing Entra security group. Confirm the</w:t>
      </w:r>
      <w:r>
        <w:t xml:space="preserve"> </w:t>
      </w:r>
      <w:r>
        <w:t xml:space="preserve">application name matches a registered Enterprise Application in Entra.</w:t>
      </w:r>
    </w:p>
    <w:p>
      <w:pPr>
        <w:pStyle w:val="Compact"/>
        <w:numPr>
          <w:ilvl w:val="0"/>
          <w:numId w:val="1008"/>
        </w:numPr>
      </w:pPr>
      <w:r>
        <w:rPr>
          <w:b/>
          <w:bCs/>
        </w:rPr>
        <w:t xml:space="preserve">Approval authority:</w:t>
      </w:r>
      <w:r>
        <w:t xml:space="preserve"> </w:t>
      </w:r>
      <w:r>
        <w:t xml:space="preserve">SAM approval chain (already complete). No additional</w:t>
      </w:r>
      <w:r>
        <w:t xml:space="preserve"> </w:t>
      </w:r>
      <w:r>
        <w:t xml:space="preserve">approval needed at execution stage.</w:t>
      </w:r>
    </w:p>
    <w:p>
      <w:pPr>
        <w:pStyle w:val="Compact"/>
        <w:numPr>
          <w:ilvl w:val="0"/>
          <w:numId w:val="1008"/>
        </w:numPr>
      </w:pPr>
      <w:r>
        <w:rPr>
          <w:b/>
          <w:bCs/>
        </w:rPr>
        <w:t xml:space="preserve">PIM required:</w:t>
      </w:r>
      <w:r>
        <w:t xml:space="preserve"> </w:t>
      </w:r>
      <w:r>
        <w:t xml:space="preserve">Yes — Application Administrator.</w:t>
      </w:r>
    </w:p>
    <w:p>
      <w:pPr>
        <w:pStyle w:val="Compact"/>
        <w:numPr>
          <w:ilvl w:val="0"/>
          <w:numId w:val="1008"/>
        </w:numPr>
      </w:pPr>
      <w:r>
        <w:rPr>
          <w:b/>
          <w:bCs/>
        </w:rPr>
        <w:t xml:space="preserve">Resolution steps:</w:t>
      </w:r>
      <w:r>
        <w:t xml:space="preserve"> </w:t>
      </w:r>
      <w:r>
        <w:t xml:space="preserve">See the Enterprise Application access assignment</w:t>
      </w:r>
      <w:r>
        <w:t xml:space="preserve"> </w:t>
      </w:r>
      <w:r>
        <w:t xml:space="preserve">procedures.</w:t>
      </w:r>
    </w:p>
    <w:bookmarkEnd w:id="47"/>
    <w:bookmarkStart w:id="48" w:name="Xd51402ae88162f4c0e4ae0af780f7ff47d600a6"/>
    <w:p>
      <w:pPr>
        <w:pStyle w:val="Heading4"/>
      </w:pPr>
      <w:r>
        <w:t xml:space="preserve">SAM-generated RITM — Access certification revocation</w:t>
      </w:r>
    </w:p>
    <w:p>
      <w:pPr>
        <w:pStyle w:val="Compact"/>
        <w:numPr>
          <w:ilvl w:val="0"/>
          <w:numId w:val="1009"/>
        </w:numPr>
      </w:pPr>
      <w:r>
        <w:rPr>
          <w:b/>
          <w:bCs/>
        </w:rPr>
        <w:t xml:space="preserve">Description:</w:t>
      </w:r>
      <w:r>
        <w:t xml:space="preserve"> </w:t>
      </w:r>
      <w:r>
        <w:t xml:space="preserve">A periodic SAM access certification has resulted in a revocation</w:t>
      </w:r>
      <w:r>
        <w:t xml:space="preserve"> </w:t>
      </w:r>
      <w:r>
        <w:t xml:space="preserve">decision for a user’s application access. SAM creates a ServiceNow RITM to remove</w:t>
      </w:r>
      <w:r>
        <w:t xml:space="preserve"> </w:t>
      </w:r>
      <w:r>
        <w:t xml:space="preserve">the group assignment from the Enterprise Application.</w:t>
      </w:r>
    </w:p>
    <w:p>
      <w:pPr>
        <w:pStyle w:val="Compact"/>
        <w:numPr>
          <w:ilvl w:val="0"/>
          <w:numId w:val="1009"/>
        </w:numPr>
      </w:pPr>
      <w:r>
        <w:rPr>
          <w:b/>
          <w:bCs/>
        </w:rPr>
        <w:t xml:space="preserve">Required validation:</w:t>
      </w:r>
      <w:r>
        <w:t xml:space="preserve"> </w:t>
      </w:r>
      <w:r>
        <w:t xml:space="preserve">Confirm the SAM certification decision is</w:t>
      </w:r>
      <w:r>
        <w:t xml:space="preserve"> </w:t>
      </w:r>
      <w:r>
        <w:t xml:space="preserve">“Revoked”</w:t>
      </w:r>
      <w:r>
        <w:t xml:space="preserve"> </w:t>
      </w:r>
      <w:r>
        <w:t xml:space="preserve">and</w:t>
      </w:r>
      <w:r>
        <w:t xml:space="preserve"> </w:t>
      </w:r>
      <w:r>
        <w:t xml:space="preserve">has been finalized (not pending). Confirm the group and application names match</w:t>
      </w:r>
      <w:r>
        <w:t xml:space="preserve"> </w:t>
      </w:r>
      <w:r>
        <w:t xml:space="preserve">Entra objects. Do not remove access if the certification is still in-progress.</w:t>
      </w:r>
    </w:p>
    <w:p>
      <w:pPr>
        <w:pStyle w:val="Compact"/>
        <w:numPr>
          <w:ilvl w:val="0"/>
          <w:numId w:val="1009"/>
        </w:numPr>
      </w:pPr>
      <w:r>
        <w:rPr>
          <w:b/>
          <w:bCs/>
        </w:rPr>
        <w:t xml:space="preserve">Approval authority:</w:t>
      </w:r>
      <w:r>
        <w:t xml:space="preserve"> </w:t>
      </w:r>
      <w:r>
        <w:t xml:space="preserve">SAM certification result is authoritative — no additional</w:t>
      </w:r>
      <w:r>
        <w:t xml:space="preserve"> </w:t>
      </w:r>
      <w:r>
        <w:t xml:space="preserve">approval.</w:t>
      </w:r>
    </w:p>
    <w:p>
      <w:pPr>
        <w:pStyle w:val="Compact"/>
        <w:numPr>
          <w:ilvl w:val="0"/>
          <w:numId w:val="1009"/>
        </w:numPr>
      </w:pPr>
      <w:r>
        <w:rPr>
          <w:b/>
          <w:bCs/>
        </w:rPr>
        <w:t xml:space="preserve">PIM required:</w:t>
      </w:r>
      <w:r>
        <w:t xml:space="preserve"> </w:t>
      </w:r>
      <w:r>
        <w:t xml:space="preserve">Yes — Application Administrator.</w:t>
      </w:r>
    </w:p>
    <w:p>
      <w:pPr>
        <w:pStyle w:val="Compact"/>
        <w:numPr>
          <w:ilvl w:val="0"/>
          <w:numId w:val="1009"/>
        </w:numPr>
      </w:pPr>
      <w:r>
        <w:rPr>
          <w:b/>
          <w:bCs/>
        </w:rPr>
        <w:t xml:space="preserve">Resolution steps:</w:t>
      </w:r>
      <w:r>
        <w:t xml:space="preserve"> </w:t>
      </w:r>
      <w:r>
        <w:t xml:space="preserve">Remove group from app role assignment in Entra Enterprise</w:t>
      </w:r>
      <w:r>
        <w:t xml:space="preserve"> </w:t>
      </w:r>
      <w:r>
        <w:t xml:space="preserve">Apps blade. Document the certification ID in the ServiceNow ticket. Resolve</w:t>
      </w:r>
      <w:r>
        <w:t xml:space="preserve"> </w:t>
      </w:r>
      <w:r>
        <w:t xml:space="preserve">ticket.</w:t>
      </w:r>
    </w:p>
    <w:bookmarkEnd w:id="48"/>
    <w:bookmarkStart w:id="49" w:name="admin-consent-escalation-ticket"/>
    <w:p>
      <w:pPr>
        <w:pStyle w:val="Heading4"/>
      </w:pPr>
      <w:r>
        <w:t xml:space="preserve">Admin Consent escalation ticket</w:t>
      </w:r>
    </w:p>
    <w:p>
      <w:pPr>
        <w:pStyle w:val="Compact"/>
        <w:numPr>
          <w:ilvl w:val="0"/>
          <w:numId w:val="1010"/>
        </w:numPr>
      </w:pPr>
      <w:r>
        <w:rPr>
          <w:b/>
          <w:bCs/>
        </w:rPr>
        <w:t xml:space="preserve">Description:</w:t>
      </w:r>
      <w:r>
        <w:t xml:space="preserve"> </w:t>
      </w:r>
      <w:r>
        <w:t xml:space="preserve">A ServiceNow ticket requesting Admin Consent approval,</w:t>
      </w:r>
      <w:r>
        <w:t xml:space="preserve"> </w:t>
      </w:r>
      <w:r>
        <w:t xml:space="preserve">originated by a user, manager, or forwarded Microsoft notification.</w:t>
      </w:r>
    </w:p>
    <w:p>
      <w:pPr>
        <w:pStyle w:val="Compact"/>
        <w:numPr>
          <w:ilvl w:val="0"/>
          <w:numId w:val="1010"/>
        </w:numPr>
      </w:pPr>
      <w:r>
        <w:rPr>
          <w:b/>
          <w:bCs/>
        </w:rPr>
        <w:t xml:space="preserve">Required action:</w:t>
      </w:r>
      <w:r>
        <w:t xml:space="preserve"> </w:t>
      </w:r>
      <w:r>
        <w:t xml:space="preserve">TRIAGE AND ESCALATE ONLY. See the Admin Consent triage</w:t>
      </w:r>
      <w:r>
        <w:t xml:space="preserve"> </w:t>
      </w:r>
      <w:r>
        <w:t xml:space="preserve">workflow.</w:t>
      </w:r>
    </w:p>
    <w:p>
      <w:pPr>
        <w:pStyle w:val="Compact"/>
        <w:numPr>
          <w:ilvl w:val="0"/>
          <w:numId w:val="1010"/>
        </w:numPr>
      </w:pPr>
      <w:r>
        <w:rPr>
          <w:b/>
          <w:bCs/>
        </w:rPr>
        <w:t xml:space="preserve">Approval authority:</w:t>
      </w:r>
      <w:r>
        <w:t xml:space="preserve"> </w:t>
      </w:r>
      <w:r>
        <w:t xml:space="preserve">IGO or Global Administrator only. Help Desk does not</w:t>
      </w:r>
      <w:r>
        <w:t xml:space="preserve"> </w:t>
      </w:r>
      <w:r>
        <w:t xml:space="preserve">approve.</w:t>
      </w:r>
    </w:p>
    <w:p>
      <w:pPr>
        <w:pStyle w:val="Compact"/>
        <w:numPr>
          <w:ilvl w:val="0"/>
          <w:numId w:val="1010"/>
        </w:numPr>
      </w:pPr>
      <w:r>
        <w:rPr>
          <w:b/>
          <w:bCs/>
        </w:rPr>
        <w:t xml:space="preserve">PIM required:</w:t>
      </w:r>
      <w:r>
        <w:t xml:space="preserve"> </w:t>
      </w:r>
      <w:r>
        <w:t xml:space="preserve">No — Help Desk does not execute this action.</w:t>
      </w:r>
    </w:p>
    <w:bookmarkEnd w:id="49"/>
    <w:bookmarkStart w:id="50" w:name="immutableid-reset-ticket"/>
    <w:p>
      <w:pPr>
        <w:pStyle w:val="Heading4"/>
      </w:pPr>
      <w:r>
        <w:t xml:space="preserve">ImmutableID reset ticket</w:t>
      </w:r>
    </w:p>
    <w:p>
      <w:pPr>
        <w:pStyle w:val="Compact"/>
        <w:numPr>
          <w:ilvl w:val="0"/>
          <w:numId w:val="1011"/>
        </w:numPr>
      </w:pPr>
      <w:r>
        <w:rPr>
          <w:b/>
          <w:bCs/>
        </w:rPr>
        <w:t xml:space="preserve">Description:</w:t>
      </w:r>
      <w:r>
        <w:t xml:space="preserve"> </w:t>
      </w:r>
      <w:r>
        <w:t xml:space="preserve">A user’s on-premises AD account and Entra ID cloud account have</w:t>
      </w:r>
      <w:r>
        <w:t xml:space="preserve"> </w:t>
      </w:r>
      <w:r>
        <w:t xml:space="preserve">become de-synced due to an ImmutableID mismatch. The ServiceNow RITM has been</w:t>
      </w:r>
      <w:r>
        <w:t xml:space="preserve"> </w:t>
      </w:r>
      <w:r>
        <w:t xml:space="preserve">approved by both Identity Engineering Lead and the IGO.</w:t>
      </w:r>
    </w:p>
    <w:p>
      <w:pPr>
        <w:pStyle w:val="Compact"/>
        <w:numPr>
          <w:ilvl w:val="0"/>
          <w:numId w:val="1011"/>
        </w:numPr>
      </w:pPr>
      <w:r>
        <w:rPr>
          <w:b/>
          <w:bCs/>
        </w:rPr>
        <w:t xml:space="preserve">Required validation:</w:t>
      </w:r>
      <w:r>
        <w:t xml:space="preserve"> </w:t>
      </w:r>
      <w:r>
        <w:t xml:space="preserve">Confirm two-stage approval is complete in the RITM</w:t>
      </w:r>
      <w:r>
        <w:t xml:space="preserve"> </w:t>
      </w:r>
      <w:r>
        <w:t xml:space="preserve">(Identity Engineering Lead + IGO). Confirm the target UPN and the correct</w:t>
      </w:r>
      <w:r>
        <w:t xml:space="preserve"> </w:t>
      </w:r>
      <w:r>
        <w:t xml:space="preserve">ImmutableID value to set are documented in the ticket. Do not proceed on</w:t>
      </w:r>
      <w:r>
        <w:t xml:space="preserve"> </w:t>
      </w:r>
      <w:r>
        <w:t xml:space="preserve">incomplete approvals.</w:t>
      </w:r>
    </w:p>
    <w:p>
      <w:pPr>
        <w:pStyle w:val="Compact"/>
        <w:numPr>
          <w:ilvl w:val="0"/>
          <w:numId w:val="1011"/>
        </w:numPr>
      </w:pPr>
      <w:r>
        <w:rPr>
          <w:b/>
          <w:bCs/>
        </w:rPr>
        <w:t xml:space="preserve">Approval authority:</w:t>
      </w:r>
      <w:r>
        <w:t xml:space="preserve"> </w:t>
      </w:r>
      <w:r>
        <w:t xml:space="preserve">Identity Engineering Lead + IGO (both required).</w:t>
      </w:r>
    </w:p>
    <w:p>
      <w:pPr>
        <w:pStyle w:val="Compact"/>
        <w:numPr>
          <w:ilvl w:val="0"/>
          <w:numId w:val="1011"/>
        </w:numPr>
      </w:pPr>
      <w:r>
        <w:rPr>
          <w:b/>
          <w:bCs/>
        </w:rPr>
        <w:t xml:space="preserve">PIM required:</w:t>
      </w:r>
      <w:r>
        <w:t xml:space="preserve"> </w:t>
      </w:r>
      <w:r>
        <w:t xml:space="preserve">Yes — Hybrid Identity Administrator.</w:t>
      </w:r>
    </w:p>
    <w:p>
      <w:pPr>
        <w:pStyle w:val="Compact"/>
        <w:numPr>
          <w:ilvl w:val="0"/>
          <w:numId w:val="1011"/>
        </w:numPr>
      </w:pPr>
      <w:r>
        <w:rPr>
          <w:b/>
          <w:bCs/>
        </w:rPr>
        <w:t xml:space="preserve">Resolution steps:</w:t>
      </w:r>
      <w:r>
        <w:t xml:space="preserve"> </w:t>
      </w:r>
      <w:r>
        <w:t xml:space="preserve">See the Hybrid identity operations section.</w:t>
      </w:r>
    </w:p>
    <w:bookmarkEnd w:id="50"/>
    <w:bookmarkStart w:id="51" w:name="mfa-reset-request"/>
    <w:p>
      <w:pPr>
        <w:pStyle w:val="Heading4"/>
      </w:pPr>
      <w:r>
        <w:t xml:space="preserve">MFA reset request</w:t>
      </w:r>
    </w:p>
    <w:p>
      <w:pPr>
        <w:pStyle w:val="Compact"/>
        <w:numPr>
          <w:ilvl w:val="0"/>
          <w:numId w:val="1012"/>
        </w:numPr>
      </w:pPr>
      <w:r>
        <w:rPr>
          <w:b/>
          <w:bCs/>
        </w:rPr>
        <w:t xml:space="preserve">Description:</w:t>
      </w:r>
      <w:r>
        <w:t xml:space="preserve"> </w:t>
      </w:r>
      <w:r>
        <w:t xml:space="preserve">A user cannot authenticate due to lost MFA device or method</w:t>
      </w:r>
      <w:r>
        <w:t xml:space="preserve"> </w:t>
      </w:r>
      <w:r>
        <w:t xml:space="preserve">failure. ServiceNow RITM has been created and Help Desk Supervisor has approved.</w:t>
      </w:r>
    </w:p>
    <w:p>
      <w:pPr>
        <w:pStyle w:val="Compact"/>
        <w:numPr>
          <w:ilvl w:val="0"/>
          <w:numId w:val="1012"/>
        </w:numPr>
      </w:pPr>
      <w:r>
        <w:rPr>
          <w:b/>
          <w:bCs/>
        </w:rPr>
        <w:t xml:space="preserve">Required validation:</w:t>
      </w:r>
      <w:r>
        <w:t xml:space="preserve"> </w:t>
      </w:r>
      <w:r>
        <w:t xml:space="preserve">Confirm user identity via agency-approved out-of-band</w:t>
      </w:r>
      <w:r>
        <w:t xml:space="preserve"> </w:t>
      </w:r>
      <w:r>
        <w:t xml:space="preserve">verification process (not email alone). Confirm Supervisor approval in the</w:t>
      </w:r>
      <w:r>
        <w:t xml:space="preserve"> </w:t>
      </w:r>
      <w:r>
        <w:t xml:space="preserve">ServiceNow approval task. Confirm the user does not hold an Entra directory role</w:t>
      </w:r>
      <w:r>
        <w:t xml:space="preserve"> </w:t>
      </w:r>
      <w:r>
        <w:t xml:space="preserve">(if they do, escalate — out of Help Desk scope).</w:t>
      </w:r>
    </w:p>
    <w:p>
      <w:pPr>
        <w:pStyle w:val="Compact"/>
        <w:numPr>
          <w:ilvl w:val="0"/>
          <w:numId w:val="1012"/>
        </w:numPr>
      </w:pPr>
      <w:r>
        <w:rPr>
          <w:b/>
          <w:bCs/>
        </w:rPr>
        <w:t xml:space="preserve">Approval authority:</w:t>
      </w:r>
      <w:r>
        <w:t xml:space="preserve"> </w:t>
      </w:r>
      <w:r>
        <w:t xml:space="preserve">Help Desk Supervisor.</w:t>
      </w:r>
    </w:p>
    <w:p>
      <w:pPr>
        <w:pStyle w:val="Compact"/>
        <w:numPr>
          <w:ilvl w:val="0"/>
          <w:numId w:val="1012"/>
        </w:numPr>
      </w:pPr>
      <w:r>
        <w:rPr>
          <w:b/>
          <w:bCs/>
        </w:rPr>
        <w:t xml:space="preserve">PIM required:</w:t>
      </w:r>
      <w:r>
        <w:t xml:space="preserve"> </w:t>
      </w:r>
      <w:r>
        <w:t xml:space="preserve">Yes — Authentication Administrator (if assigned).</w:t>
      </w:r>
    </w:p>
    <w:p>
      <w:pPr>
        <w:pStyle w:val="Compact"/>
        <w:numPr>
          <w:ilvl w:val="0"/>
          <w:numId w:val="1012"/>
        </w:numPr>
      </w:pPr>
      <w:r>
        <w:rPr>
          <w:b/>
          <w:bCs/>
        </w:rPr>
        <w:t xml:space="preserve">Resolution steps:</w:t>
      </w:r>
      <w:r>
        <w:t xml:space="preserve"> </w:t>
      </w:r>
      <w:r>
        <w:t xml:space="preserve">Delete the existing authentication methods for the user in</w:t>
      </w:r>
      <w:r>
        <w:t xml:space="preserve"> </w:t>
      </w:r>
      <w:r>
        <w:t xml:space="preserve">Entra Portal → Users → [User] → Authentication Methods. Instruct user to</w:t>
      </w:r>
      <w:r>
        <w:t xml:space="preserve"> </w:t>
      </w:r>
      <w:r>
        <w:t xml:space="preserve">re-register. Document in ServiceNow. Resolve ticket.</w:t>
      </w:r>
    </w:p>
    <w:bookmarkEnd w:id="51"/>
    <w:bookmarkStart w:id="52" w:name="onedrive-sync-issues-user-self-service"/>
    <w:p>
      <w:pPr>
        <w:pStyle w:val="Heading4"/>
      </w:pPr>
      <w:r>
        <w:t xml:space="preserve">OneDrive sync issues — user self-service</w:t>
      </w:r>
    </w:p>
    <w:p>
      <w:pPr>
        <w:pStyle w:val="Compact"/>
        <w:numPr>
          <w:ilvl w:val="0"/>
          <w:numId w:val="1013"/>
        </w:numPr>
      </w:pPr>
      <w:r>
        <w:rPr>
          <w:b/>
          <w:bCs/>
        </w:rPr>
        <w:t xml:space="preserve">Description:</w:t>
      </w:r>
      <w:r>
        <w:t xml:space="preserve"> </w:t>
      </w:r>
      <w:r>
        <w:t xml:space="preserve">User submits ServiceNow catalog item</w:t>
      </w:r>
      <w:r>
        <w:t xml:space="preserve"> </w:t>
      </w:r>
      <w:r>
        <w:t xml:space="preserve">“OneDrive Sync Issue.”</w:t>
      </w:r>
      <w:r>
        <w:t xml:space="preserve"> </w:t>
      </w:r>
      <w:r>
        <w:t xml:space="preserve">Ticket is auto-assigned to Help Desk.</w:t>
      </w:r>
    </w:p>
    <w:p>
      <w:pPr>
        <w:pStyle w:val="Compact"/>
        <w:numPr>
          <w:ilvl w:val="0"/>
          <w:numId w:val="1013"/>
        </w:numPr>
      </w:pPr>
      <w:r>
        <w:rPr>
          <w:b/>
          <w:bCs/>
        </w:rPr>
        <w:t xml:space="preserve">Required validation:</w:t>
      </w:r>
      <w:r>
        <w:t xml:space="preserve"> </w:t>
      </w:r>
      <w:r>
        <w:t xml:space="preserve">Ticket in Assigned status. No additional pre-approval</w:t>
      </w:r>
      <w:r>
        <w:t xml:space="preserve"> </w:t>
      </w:r>
      <w:r>
        <w:t xml:space="preserve">required for client-side triage. Entra-level actions require approval as</w:t>
      </w:r>
      <w:r>
        <w:t xml:space="preserve"> </w:t>
      </w:r>
      <w:r>
        <w:t xml:space="preserve">documented in the OneDrive sync issues section.</w:t>
      </w:r>
    </w:p>
    <w:p>
      <w:pPr>
        <w:pStyle w:val="Compact"/>
        <w:numPr>
          <w:ilvl w:val="0"/>
          <w:numId w:val="1013"/>
        </w:numPr>
      </w:pPr>
      <w:r>
        <w:rPr>
          <w:b/>
          <w:bCs/>
        </w:rPr>
        <w:t xml:space="preserve">Approval authority:</w:t>
      </w:r>
      <w:r>
        <w:t xml:space="preserve"> </w:t>
      </w:r>
      <w:r>
        <w:t xml:space="preserve">Varies by resolution action. See the OneDrive sync</w:t>
      </w:r>
      <w:r>
        <w:t xml:space="preserve"> </w:t>
      </w:r>
      <w:r>
        <w:t xml:space="preserve">issues section.</w:t>
      </w:r>
    </w:p>
    <w:p>
      <w:pPr>
        <w:pStyle w:val="Compact"/>
        <w:numPr>
          <w:ilvl w:val="0"/>
          <w:numId w:val="1013"/>
        </w:numPr>
      </w:pPr>
      <w:r>
        <w:rPr>
          <w:b/>
          <w:bCs/>
        </w:rPr>
        <w:t xml:space="preserve">PIM required:</w:t>
      </w:r>
      <w:r>
        <w:t xml:space="preserve"> </w:t>
      </w:r>
      <w:r>
        <w:t xml:space="preserve">Varies by resolution action. See the OneDrive sync issues</w:t>
      </w:r>
      <w:r>
        <w:t xml:space="preserve"> </w:t>
      </w:r>
      <w:r>
        <w:t xml:space="preserve">section.</w:t>
      </w:r>
    </w:p>
    <w:p>
      <w:pPr>
        <w:pStyle w:val="Compact"/>
        <w:numPr>
          <w:ilvl w:val="0"/>
          <w:numId w:val="1013"/>
        </w:numPr>
      </w:pPr>
      <w:r>
        <w:rPr>
          <w:b/>
          <w:bCs/>
        </w:rPr>
        <w:t xml:space="preserve">Resolution steps:</w:t>
      </w:r>
      <w:r>
        <w:t xml:space="preserve"> </w:t>
      </w:r>
      <w:r>
        <w:t xml:space="preserve">See the OneDrive sync issues section for the full triage</w:t>
      </w:r>
      <w:r>
        <w:t xml:space="preserve"> </w:t>
      </w:r>
      <w:r>
        <w:t xml:space="preserve">and resolution workflow.</w:t>
      </w:r>
    </w:p>
    <w:bookmarkEnd w:id="52"/>
    <w:bookmarkEnd w:id="53"/>
    <w:bookmarkEnd w:id="54"/>
    <w:bookmarkStart w:id="59" w:name="admin-consent-triage-workflow"/>
    <w:p>
      <w:pPr>
        <w:pStyle w:val="Heading2"/>
      </w:pPr>
      <w:r>
        <w:t xml:space="preserve">Admin Consent triage workflow</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55" name="Picture"/>
                  <a:graphic>
                    <a:graphicData uri="http://schemas.openxmlformats.org/drawingml/2006/picture">
                      <pic:pic>
                        <pic:nvPicPr>
                          <pic:cNvPr descr="/opt/quarto/share/formats/docx/warning.png" id="56"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Prohibited action</w:t>
            </w:r>
          </w:p>
        </w:tc>
      </w:tr>
      <w:tr>
        <w:trPr>
          <w:cantSplit/>
        </w:trPr>
        <w:tc>
          <w:tcPr>
            <w:tcMar>
              <w:top w:w="108" w:type="dxa"/>
              <w:bottom w:w="108" w:type="dxa"/>
            </w:tcMar>
          </w:tcPr>
          <w:p>
            <w:pPr>
              <w:pStyle w:val="BodyText"/>
            </w:pPr>
            <w:pPr>
              <w:spacing w:before="16" w:after="16"/>
            </w:pPr>
            <w:r>
              <w:rPr>
                <w:b/>
                <w:bCs/>
              </w:rPr>
              <w:t xml:space="preserve">Help Desk personnel may NEVER approve Admin Consent grants for Enterprise</w:t>
            </w:r>
            <w:r>
              <w:rPr>
                <w:b/>
                <w:bCs/>
              </w:rPr>
              <w:t xml:space="preserve"> </w:t>
            </w:r>
            <w:r>
              <w:rPr>
                <w:b/>
                <w:bCs/>
              </w:rPr>
              <w:t xml:space="preserve">Applications, regardless of the source of the request (email, ticket, verbal).</w:t>
            </w:r>
            <w:r>
              <w:t xml:space="preserve"> </w:t>
            </w:r>
            <w:r>
              <w:t xml:space="preserve">Admin Consent approval authority is reserved exclusively for the</w:t>
            </w:r>
            <w:r>
              <w:t xml:space="preserve"> </w:t>
            </w:r>
            <w:r>
              <w:rPr>
                <w:b/>
                <w:bCs/>
              </w:rPr>
              <w:t xml:space="preserve">Identity</w:t>
            </w:r>
            <w:r>
              <w:rPr>
                <w:b/>
                <w:bCs/>
              </w:rPr>
              <w:t xml:space="preserve"> </w:t>
            </w:r>
            <w:r>
              <w:rPr>
                <w:b/>
                <w:bCs/>
              </w:rPr>
              <w:t xml:space="preserve">Governance Officer (IGO)</w:t>
            </w:r>
            <w:r>
              <w:t xml:space="preserve"> </w:t>
            </w:r>
            <w:r>
              <w:t xml:space="preserve">or</w:t>
            </w:r>
            <w:r>
              <w:t xml:space="preserve"> </w:t>
            </w:r>
            <w:r>
              <w:rPr>
                <w:b/>
                <w:bCs/>
              </w:rPr>
              <w:t xml:space="preserve">Global Administrator</w:t>
            </w:r>
            <w:r>
              <w:t xml:space="preserve"> </w:t>
            </w:r>
            <w:r>
              <w:t xml:space="preserve">acting under IGO direction.</w:t>
            </w:r>
            <w:r>
              <w:t xml:space="preserve"> </w:t>
            </w:r>
            <w:r>
              <w:t xml:space="preserve">Help Desk role is</w:t>
            </w:r>
            <w:r>
              <w:t xml:space="preserve"> </w:t>
            </w:r>
            <w:r>
              <w:rPr>
                <w:b/>
                <w:bCs/>
              </w:rPr>
              <w:t xml:space="preserve">triage and escalation only</w:t>
            </w:r>
            <w:r>
              <w:t xml:space="preserve">. Any technician who approves an</w:t>
            </w:r>
            <w:r>
              <w:t xml:space="preserve"> </w:t>
            </w:r>
            <w:r>
              <w:t xml:space="preserve">Admin Consent grant outside this chain will be considered to have acted outside</w:t>
            </w:r>
            <w:r>
              <w:t xml:space="preserve"> </w:t>
            </w:r>
            <w:r>
              <w:t xml:space="preserve">their authority.</w:t>
            </w:r>
          </w:p>
          <w:p/>
        </w:tc>
      </w:tr>
    </w:tbl>
    <w:bookmarkStart w:id="57" w:name="admin-consent-triage-procedure"/>
    <w:p>
      <w:pPr>
        <w:pStyle w:val="Heading3"/>
      </w:pPr>
      <w:r>
        <w:t xml:space="preserve">Admin Consent triage procedure</w:t>
      </w:r>
    </w:p>
    <w:p>
      <w:pPr>
        <w:pStyle w:val="Compact"/>
        <w:numPr>
          <w:ilvl w:val="0"/>
          <w:numId w:val="1014"/>
        </w:numPr>
      </w:pPr>
      <w:r>
        <w:rPr>
          <w:b/>
          <w:bCs/>
        </w:rPr>
        <w:t xml:space="preserve">Receive notification or ticket.</w:t>
      </w:r>
      <w:r>
        <w:t xml:space="preserve"> </w:t>
      </w:r>
      <w:r>
        <w:t xml:space="preserve">The trigger may be a Microsoft Security</w:t>
      </w:r>
      <w:r>
        <w:t xml:space="preserve"> </w:t>
      </w:r>
      <w:r>
        <w:t xml:space="preserve">notification email (MSSecurity-noreply@microsoft.com), a user-submitted</w:t>
      </w:r>
      <w:r>
        <w:t xml:space="preserve"> </w:t>
      </w:r>
      <w:r>
        <w:t xml:space="preserve">ServiceNow ticket, a forwarded email from a manager, or a verbal report. In all</w:t>
      </w:r>
      <w:r>
        <w:t xml:space="preserve"> </w:t>
      </w:r>
      <w:r>
        <w:t xml:space="preserve">cases, create a ServiceNow ticket (or locate the existing one) and document the</w:t>
      </w:r>
      <w:r>
        <w:t xml:space="preserve"> </w:t>
      </w:r>
      <w:r>
        <w:t xml:space="preserve">source and time of notification.</w:t>
      </w:r>
    </w:p>
    <w:p>
      <w:pPr>
        <w:pStyle w:val="Compact"/>
        <w:numPr>
          <w:ilvl w:val="0"/>
          <w:numId w:val="1014"/>
        </w:numPr>
      </w:pPr>
      <w:r>
        <w:rPr>
          <w:b/>
          <w:bCs/>
        </w:rPr>
        <w:t xml:space="preserve">Identify the request type.</w:t>
      </w:r>
      <w:r>
        <w:t xml:space="preserve"> </w:t>
      </w:r>
      <w:r>
        <w:t xml:space="preserve">Determine whether the request involves: (a)</w:t>
      </w:r>
      <w:r>
        <w:t xml:space="preserve"> </w:t>
      </w:r>
      <w:r>
        <w:rPr>
          <w:b/>
          <w:bCs/>
        </w:rPr>
        <w:t xml:space="preserve">User consent</w:t>
      </w:r>
      <w:r>
        <w:t xml:space="preserve"> </w:t>
      </w:r>
      <w:r>
        <w:t xml:space="preserve">— a user consenting to app permissions on their own behalf; (b)</w:t>
      </w:r>
      <w:r>
        <w:t xml:space="preserve"> </w:t>
      </w:r>
      <w:r>
        <w:rPr>
          <w:b/>
          <w:bCs/>
        </w:rPr>
        <w:t xml:space="preserve">Admin Consent</w:t>
      </w:r>
      <w:r>
        <w:t xml:space="preserve"> </w:t>
      </w:r>
      <w:r>
        <w:t xml:space="preserve">— an application requesting organization-wide permission</w:t>
      </w:r>
      <w:r>
        <w:t xml:space="preserve"> </w:t>
      </w:r>
      <w:r>
        <w:t xml:space="preserve">grants requiring a tenant-level administrator action; or (c)</w:t>
      </w:r>
      <w:r>
        <w:t xml:space="preserve"> </w:t>
      </w:r>
      <w:r>
        <w:rPr>
          <w:b/>
          <w:bCs/>
        </w:rPr>
        <w:t xml:space="preserve">App permission</w:t>
      </w:r>
      <w:r>
        <w:rPr>
          <w:b/>
          <w:bCs/>
        </w:rPr>
        <w:t xml:space="preserve"> </w:t>
      </w:r>
      <w:r>
        <w:rPr>
          <w:b/>
          <w:bCs/>
        </w:rPr>
        <w:t xml:space="preserve">change</w:t>
      </w:r>
      <w:r>
        <w:t xml:space="preserve"> </w:t>
      </w:r>
      <w:r>
        <w:t xml:space="preserve">— an existing app’s API permissions have been modified and require</w:t>
      </w:r>
      <w:r>
        <w:t xml:space="preserve"> </w:t>
      </w:r>
      <w:r>
        <w:t xml:space="preserve">re-consent. If the answer is (b) or (c), proceed to Step 5 without delay.</w:t>
      </w:r>
    </w:p>
    <w:p>
      <w:pPr>
        <w:pStyle w:val="Compact"/>
        <w:numPr>
          <w:ilvl w:val="0"/>
          <w:numId w:val="1014"/>
        </w:numPr>
      </w:pPr>
      <w:r>
        <w:rPr>
          <w:b/>
          <w:bCs/>
        </w:rPr>
        <w:t xml:space="preserve">Validate requestor identity and business justification.</w:t>
      </w:r>
      <w:r>
        <w:t xml:space="preserve"> </w:t>
      </w:r>
      <w:r>
        <w:t xml:space="preserve">Identify who is</w:t>
      </w:r>
      <w:r>
        <w:t xml:space="preserve"> </w:t>
      </w:r>
      <w:r>
        <w:t xml:space="preserve">requesting the consent. Is there a legitimate business application associated</w:t>
      </w:r>
      <w:r>
        <w:t xml:space="preserve"> </w:t>
      </w:r>
      <w:r>
        <w:t xml:space="preserve">with the request? Is the application name recognizable as an agency-sanctioned</w:t>
      </w:r>
      <w:r>
        <w:t xml:space="preserve"> </w:t>
      </w:r>
      <w:r>
        <w:t xml:space="preserve">or commonly used vendor application? Document findings. A request for an unknown</w:t>
      </w:r>
      <w:r>
        <w:t xml:space="preserve"> </w:t>
      </w:r>
      <w:r>
        <w:t xml:space="preserve">application or one with no verifiable business justification should be flagged</w:t>
      </w:r>
      <w:r>
        <w:t xml:space="preserve"> </w:t>
      </w:r>
      <w:r>
        <w:t xml:space="preserve">as high-risk in the ticket.</w:t>
      </w:r>
    </w:p>
    <w:p>
      <w:pPr>
        <w:pStyle w:val="Compact"/>
        <w:numPr>
          <w:ilvl w:val="0"/>
          <w:numId w:val="1014"/>
        </w:numPr>
      </w:pPr>
      <w:r>
        <w:rPr>
          <w:b/>
          <w:bCs/>
        </w:rPr>
        <w:t xml:space="preserve">Check Entra Audit Logs for consent grant activity.</w:t>
      </w:r>
      <w:r>
        <w:t xml:space="preserve"> </w:t>
      </w:r>
      <w:r>
        <w:t xml:space="preserve">Navigate to Entra Portal</w:t>
      </w:r>
      <w:r>
        <w:t xml:space="preserve"> </w:t>
      </w:r>
      <w:r>
        <w:t xml:space="preserve">→ Monitoring → Audit Logs. Filter Activity:</w:t>
      </w:r>
      <w:r>
        <w:t xml:space="preserve"> </w:t>
      </w:r>
      <w:r>
        <w:t xml:space="preserve">“Consent to application.”</w:t>
      </w:r>
      <w:r>
        <w:t xml:space="preserve"> </w:t>
      </w:r>
      <w:r>
        <w:t xml:space="preserve">Look for</w:t>
      </w:r>
      <w:r>
        <w:t xml:space="preserve"> </w:t>
      </w:r>
      <w:r>
        <w:t xml:space="preserve">any consent events associated with the application or the requesting user. If</w:t>
      </w:r>
      <w:r>
        <w:t xml:space="preserve"> </w:t>
      </w:r>
      <w:r>
        <w:t xml:space="preserve">consent has already been granted, document it and escalate immediately — an</w:t>
      </w:r>
      <w:r>
        <w:t xml:space="preserve"> </w:t>
      </w:r>
      <w:r>
        <w:t xml:space="preserve">unauthorized grant may have occurred and requires security review.</w:t>
      </w:r>
    </w:p>
    <w:p>
      <w:pPr>
        <w:pStyle w:val="Compact"/>
        <w:numPr>
          <w:ilvl w:val="0"/>
          <w:numId w:val="1014"/>
        </w:numPr>
      </w:pPr>
      <w:r>
        <w:rPr>
          <w:b/>
          <w:bCs/>
        </w:rPr>
        <w:t xml:space="preserve">If Admin Consent is required: STOP. Do not proceed.</w:t>
      </w:r>
      <w:r>
        <w:t xml:space="preserve"> </w:t>
      </w:r>
      <w:r>
        <w:t xml:space="preserve">Do not click any</w:t>
      </w:r>
      <w:r>
        <w:t xml:space="preserve"> </w:t>
      </w:r>
      <w:r>
        <w:t xml:space="preserve">approval links in the Microsoft notification email. Do not navigate to the Admin</w:t>
      </w:r>
      <w:r>
        <w:t xml:space="preserve"> </w:t>
      </w:r>
      <w:r>
        <w:t xml:space="preserve">Consent requests page with the intent to approve. Escalate the ticket to the</w:t>
      </w:r>
      <w:r>
        <w:t xml:space="preserve"> </w:t>
      </w:r>
      <w:r>
        <w:rPr>
          <w:b/>
          <w:bCs/>
        </w:rPr>
        <w:t xml:space="preserve">Application Owner</w:t>
      </w:r>
      <w:r>
        <w:t xml:space="preserve"> </w:t>
      </w:r>
      <w:r>
        <w:t xml:space="preserve">identified in the SAM record for the application. Notify</w:t>
      </w:r>
      <w:r>
        <w:t xml:space="preserve"> </w:t>
      </w:r>
      <w:r>
        <w:t xml:space="preserve">the Application Owner that IGO review is required. Update the ServiceNow ticket</w:t>
      </w:r>
      <w:r>
        <w:t xml:space="preserve"> </w:t>
      </w:r>
      <w:r>
        <w:t xml:space="preserve">with escalation action and timestamp.</w:t>
      </w:r>
    </w:p>
    <w:p>
      <w:pPr>
        <w:pStyle w:val="Compact"/>
        <w:numPr>
          <w:ilvl w:val="0"/>
          <w:numId w:val="1014"/>
        </w:numPr>
      </w:pPr>
      <w:r>
        <w:rPr>
          <w:b/>
          <w:bCs/>
        </w:rPr>
        <w:t xml:space="preserve">Document outcome in ServiceNow.</w:t>
      </w:r>
      <w:r>
        <w:t xml:space="preserve"> </w:t>
      </w:r>
      <w:r>
        <w:t xml:space="preserve">Regardless of outcome, document in the</w:t>
      </w:r>
      <w:r>
        <w:t xml:space="preserve"> </w:t>
      </w:r>
      <w:r>
        <w:t xml:space="preserve">ticket: notification source and content summary, request type determination,</w:t>
      </w:r>
      <w:r>
        <w:t xml:space="preserve"> </w:t>
      </w:r>
      <w:r>
        <w:t xml:space="preserve">audit log findings, escalation target and timestamp, and current ticket status.</w:t>
      </w:r>
      <w:r>
        <w:t xml:space="preserve"> </w:t>
      </w:r>
      <w:r>
        <w:t xml:space="preserve">Set the ticket to</w:t>
      </w:r>
      <w:r>
        <w:t xml:space="preserve"> </w:t>
      </w:r>
      <w:r>
        <w:t xml:space="preserve">“Pending”</w:t>
      </w:r>
      <w:r>
        <w:t xml:space="preserve"> </w:t>
      </w:r>
      <w:r>
        <w:t xml:space="preserve">with reason</w:t>
      </w:r>
      <w:r>
        <w:t xml:space="preserve"> </w:t>
      </w:r>
      <w:r>
        <w:t xml:space="preserve">“Awaiting IGO Decision.”</w:t>
      </w:r>
    </w:p>
    <w:p>
      <w:pPr>
        <w:pStyle w:val="Compact"/>
        <w:numPr>
          <w:ilvl w:val="0"/>
          <w:numId w:val="1014"/>
        </w:numPr>
      </w:pPr>
      <w:r>
        <w:rPr>
          <w:b/>
          <w:bCs/>
        </w:rPr>
        <w:t xml:space="preserve">Notify the requestor.</w:t>
      </w:r>
      <w:r>
        <w:t xml:space="preserve"> </w:t>
      </w:r>
      <w:r>
        <w:t xml:space="preserve">Inform the original requestor (user or manager) that</w:t>
      </w:r>
      <w:r>
        <w:t xml:space="preserve"> </w:t>
      </w:r>
      <w:r>
        <w:t xml:space="preserve">the consent request has been received, has been escalated to the appropriate</w:t>
      </w:r>
      <w:r>
        <w:t xml:space="preserve"> </w:t>
      </w:r>
      <w:r>
        <w:t xml:space="preserve">approval authority per agency policy, and that Help Desk cannot provide an</w:t>
      </w:r>
      <w:r>
        <w:t xml:space="preserve"> </w:t>
      </w:r>
      <w:r>
        <w:t xml:space="preserve">approval timeline. Do not indicate whether approval is likely or unlikely.</w:t>
      </w:r>
    </w:p>
    <w:bookmarkEnd w:id="57"/>
    <w:bookmarkStart w:id="58" w:name="admin-consent-escalation-decision-tree"/>
    <w:p>
      <w:pPr>
        <w:pStyle w:val="Heading3"/>
      </w:pPr>
      <w:r>
        <w:t xml:space="preserve">Admin Consent escalation decision tree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Condition</w:t>
            </w:r>
          </w:p>
        </w:tc>
        <w:tc>
          <w:tcPr/>
          <w:p>
            <w:pPr>
              <w:pStyle w:val="Compact"/>
            </w:pPr>
            <w:r>
              <w:rPr>
                <w:b/>
                <w:bCs/>
              </w:rPr>
              <w:t xml:space="preserve">Help Desk action</w:t>
            </w:r>
          </w:p>
        </w:tc>
        <w:tc>
          <w:tcPr/>
          <w:p>
            <w:pPr>
              <w:pStyle w:val="Compact"/>
            </w:pPr>
            <w:r>
              <w:rPr>
                <w:b/>
                <w:bCs/>
              </w:rPr>
              <w:t xml:space="preserve">Escalate to</w:t>
            </w:r>
          </w:p>
        </w:tc>
        <w:tc>
          <w:tcPr/>
          <w:p>
            <w:pPr>
              <w:pStyle w:val="Compact"/>
            </w:pPr>
            <w:r>
              <w:rPr>
                <w:b/>
                <w:bCs/>
              </w:rPr>
              <w:t xml:space="preserve">Priority</w:t>
            </w:r>
          </w:p>
        </w:tc>
      </w:tr>
      <w:tr>
        <w:tc>
          <w:tcPr/>
          <w:p>
            <w:pPr>
              <w:pStyle w:val="Compact"/>
            </w:pPr>
            <w:r>
              <w:t xml:space="preserve">Admin Consent requested — no prior consent event in audit logs</w:t>
            </w:r>
          </w:p>
        </w:tc>
        <w:tc>
          <w:tcPr/>
          <w:p>
            <w:pPr>
              <w:pStyle w:val="Compact"/>
            </w:pPr>
            <w:r>
              <w:t xml:space="preserve">Triage Steps 1–7. Escalate.</w:t>
            </w:r>
          </w:p>
        </w:tc>
        <w:tc>
          <w:tcPr/>
          <w:p>
            <w:pPr>
              <w:pStyle w:val="Compact"/>
            </w:pPr>
            <w:r>
              <w:t xml:space="preserve">Application Owner → IGO</w:t>
            </w:r>
          </w:p>
        </w:tc>
        <w:tc>
          <w:tcPr/>
          <w:p>
            <w:pPr>
              <w:pStyle w:val="Compact"/>
            </w:pPr>
            <w:r>
              <w:t xml:space="preserve">Normal — route per SLA</w:t>
            </w:r>
          </w:p>
        </w:tc>
      </w:tr>
      <w:tr>
        <w:tc>
          <w:tcPr/>
          <w:p>
            <w:pPr>
              <w:pStyle w:val="Compact"/>
            </w:pPr>
            <w:r>
              <w:t xml:space="preserve">Admin Consent already granted in audit logs — source unclear</w:t>
            </w:r>
          </w:p>
        </w:tc>
        <w:tc>
          <w:tcPr/>
          <w:p>
            <w:pPr>
              <w:pStyle w:val="Compact"/>
            </w:pPr>
            <w:r>
              <w:t xml:space="preserve">Escalate immediately. Flag as potential unauthorized action.</w:t>
            </w:r>
          </w:p>
        </w:tc>
        <w:tc>
          <w:tcPr/>
          <w:p>
            <w:pPr>
              <w:pStyle w:val="Compact"/>
            </w:pPr>
            <w:r>
              <w:t xml:space="preserve">IGO + Security Operations</w:t>
            </w:r>
          </w:p>
        </w:tc>
        <w:tc>
          <w:tcPr/>
          <w:p>
            <w:pPr>
              <w:pStyle w:val="Compact"/>
            </w:pPr>
            <w:r>
              <w:rPr>
                <w:b/>
                <w:bCs/>
              </w:rPr>
              <w:t xml:space="preserve">High — immediate escalation</w:t>
            </w:r>
          </w:p>
        </w:tc>
      </w:tr>
      <w:tr>
        <w:tc>
          <w:tcPr/>
          <w:p>
            <w:pPr>
              <w:pStyle w:val="Compact"/>
            </w:pPr>
            <w:r>
              <w:t xml:space="preserve">Consent for unknown or unrecognized application</w:t>
            </w:r>
          </w:p>
        </w:tc>
        <w:tc>
          <w:tcPr/>
          <w:p>
            <w:pPr>
              <w:pStyle w:val="Compact"/>
            </w:pPr>
            <w:r>
              <w:t xml:space="preserve">Do not approve. Flag as high-risk. Escalate.</w:t>
            </w:r>
          </w:p>
        </w:tc>
        <w:tc>
          <w:tcPr/>
          <w:p>
            <w:pPr>
              <w:pStyle w:val="Compact"/>
            </w:pPr>
            <w:r>
              <w:t xml:space="preserve">IGO + Security Operations</w:t>
            </w:r>
          </w:p>
        </w:tc>
        <w:tc>
          <w:tcPr/>
          <w:p>
            <w:pPr>
              <w:pStyle w:val="Compact"/>
            </w:pPr>
            <w:r>
              <w:rPr>
                <w:b/>
                <w:bCs/>
              </w:rPr>
              <w:t xml:space="preserve">High — immediate escalation</w:t>
            </w:r>
          </w:p>
        </w:tc>
      </w:tr>
      <w:tr>
        <w:tc>
          <w:tcPr/>
          <w:p>
            <w:pPr>
              <w:pStyle w:val="Compact"/>
            </w:pPr>
            <w:r>
              <w:t xml:space="preserve">User consent only (not admin-level permissions)</w:t>
            </w:r>
          </w:p>
        </w:tc>
        <w:tc>
          <w:tcPr/>
          <w:p>
            <w:pPr>
              <w:pStyle w:val="Compact"/>
            </w:pPr>
            <w:r>
              <w:t xml:space="preserve">Confirm user consent settings permit user consent. If yes, inform user. If tenant policy blocks user consent, escalate.</w:t>
            </w:r>
          </w:p>
        </w:tc>
        <w:tc>
          <w:tcPr/>
          <w:p>
            <w:pPr>
              <w:pStyle w:val="Compact"/>
            </w:pPr>
            <w:r>
              <w:t xml:space="preserve">Application Owner if escalation needed</w:t>
            </w:r>
          </w:p>
        </w:tc>
        <w:tc>
          <w:tcPr/>
          <w:p>
            <w:pPr>
              <w:pStyle w:val="Compact"/>
            </w:pPr>
            <w:r>
              <w:t xml:space="preserve">Normal</w:t>
            </w:r>
          </w:p>
        </w:tc>
      </w:tr>
      <w:tr>
        <w:tc>
          <w:tcPr/>
          <w:p>
            <w:pPr>
              <w:pStyle w:val="Compact"/>
            </w:pPr>
            <w:r>
              <w:t xml:space="preserve">App permission scope change requiring re-consent</w:t>
            </w:r>
          </w:p>
        </w:tc>
        <w:tc>
          <w:tcPr/>
          <w:p>
            <w:pPr>
              <w:pStyle w:val="Compact"/>
            </w:pPr>
            <w:r>
              <w:t xml:space="preserve">Triage as Admin Consent. Escalate to Application Owner → IGO.</w:t>
            </w:r>
          </w:p>
        </w:tc>
        <w:tc>
          <w:tcPr/>
          <w:p>
            <w:pPr>
              <w:pStyle w:val="Compact"/>
            </w:pPr>
            <w:r>
              <w:t xml:space="preserve">Application Owner → IGO</w:t>
            </w:r>
          </w:p>
        </w:tc>
        <w:tc>
          <w:tcPr/>
          <w:p>
            <w:pPr>
              <w:pStyle w:val="Compact"/>
            </w:pPr>
            <w:r>
              <w:t xml:space="preserve">Normal — route per SLA</w:t>
            </w:r>
          </w:p>
        </w:tc>
      </w:tr>
      <w:tr>
        <w:tc>
          <w:tcPr/>
          <w:p>
            <w:pPr>
              <w:pStyle w:val="Compact"/>
            </w:pPr>
            <w:r>
              <w:t xml:space="preserve">Microsoft Security notification forwarded by manager requesting action</w:t>
            </w:r>
          </w:p>
        </w:tc>
        <w:tc>
          <w:tcPr/>
          <w:p>
            <w:pPr>
              <w:pStyle w:val="Compact"/>
            </w:pPr>
            <w:r>
              <w:t xml:space="preserve">Do NOT action the email link. Triage Steps 1–7. Escalate.</w:t>
            </w:r>
          </w:p>
        </w:tc>
        <w:tc>
          <w:tcPr/>
          <w:p>
            <w:pPr>
              <w:pStyle w:val="Compact"/>
            </w:pPr>
            <w:r>
              <w:t xml:space="preserve">Application Owner → IGO</w:t>
            </w:r>
          </w:p>
        </w:tc>
        <w:tc>
          <w:tcPr/>
          <w:p>
            <w:pPr>
              <w:pStyle w:val="Compact"/>
            </w:pPr>
            <w:r>
              <w:t xml:space="preserve">Normal</w:t>
            </w:r>
          </w:p>
        </w:tc>
      </w:tr>
    </w:tbl>
    <w:bookmarkEnd w:id="58"/>
    <w:bookmarkEnd w:id="59"/>
    <w:bookmarkStart w:id="66" w:name="Xcce64a4744c8fe182ea7507992489ee910a5c7a"/>
    <w:p>
      <w:pPr>
        <w:pStyle w:val="Heading2"/>
      </w:pPr>
      <w:r>
        <w:t xml:space="preserve">Enterprise Application access assignment procedures</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60" name="Picture"/>
                  <a:graphic>
                    <a:graphicData uri="http://schemas.openxmlformats.org/drawingml/2006/picture">
                      <pic:pic>
                        <pic:nvPicPr>
                          <pic:cNvPr descr="/opt/quarto/share/formats/docx/important.png" id="61"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Prerequisite</w:t>
            </w:r>
          </w:p>
        </w:tc>
      </w:tr>
      <w:tr>
        <w:trPr>
          <w:cantSplit/>
        </w:trPr>
        <w:tc>
          <w:tcPr>
            <w:tcMar>
              <w:top w:w="108" w:type="dxa"/>
              <w:bottom w:w="108" w:type="dxa"/>
            </w:tcMar>
          </w:tcPr>
          <w:p>
            <w:pPr>
              <w:pStyle w:val="BodyText"/>
            </w:pPr>
            <w:pPr>
              <w:spacing w:before="16" w:after="16"/>
            </w:pPr>
            <w:r>
              <w:t xml:space="preserve">A</w:t>
            </w:r>
            <w:r>
              <w:t xml:space="preserve"> </w:t>
            </w:r>
            <w:r>
              <w:rPr>
                <w:b/>
                <w:bCs/>
              </w:rPr>
              <w:t xml:space="preserve">SAM-approved RITM must be in</w:t>
            </w:r>
            <w:r>
              <w:rPr>
                <w:b/>
                <w:bCs/>
              </w:rPr>
              <w:t xml:space="preserve"> </w:t>
            </w:r>
            <w:r>
              <w:rPr>
                <w:b/>
                <w:bCs/>
              </w:rPr>
              <w:t xml:space="preserve">“Assigned”</w:t>
            </w:r>
            <w:r>
              <w:rPr>
                <w:b/>
                <w:bCs/>
              </w:rPr>
              <w:t xml:space="preserve"> </w:t>
            </w:r>
            <w:r>
              <w:rPr>
                <w:b/>
                <w:bCs/>
              </w:rPr>
              <w:t xml:space="preserve">status</w:t>
            </w:r>
            <w:r>
              <w:t xml:space="preserve"> </w:t>
            </w:r>
            <w:r>
              <w:t xml:space="preserve">in ServiceNow before any</w:t>
            </w:r>
            <w:r>
              <w:t xml:space="preserve"> </w:t>
            </w:r>
            <w:r>
              <w:t xml:space="preserve">Enterprise Application access assignment or removal action is initiated. Actions</w:t>
            </w:r>
            <w:r>
              <w:t xml:space="preserve"> </w:t>
            </w:r>
            <w:r>
              <w:t xml:space="preserve">performed without an active, approved RITM are a policy violation and will be</w:t>
            </w:r>
            <w:r>
              <w:t xml:space="preserve"> </w:t>
            </w:r>
            <w:r>
              <w:t xml:space="preserve">flagged in the next audit cycle.</w:t>
            </w:r>
          </w:p>
          <w:p/>
        </w:tc>
      </w:tr>
    </w:tbl>
    <w:bookmarkStart w:id="62" w:name="Xd8efe4538bbd20659d65cd5142ea4a7c3af9da0"/>
    <w:p>
      <w:pPr>
        <w:pStyle w:val="Heading3"/>
      </w:pPr>
      <w:r>
        <w:t xml:space="preserve">Assigning a group to an Enterprise Application</w:t>
      </w:r>
    </w:p>
    <w:p>
      <w:pPr>
        <w:pStyle w:val="FirstParagraph"/>
      </w:pPr>
      <w:r>
        <w:t xml:space="preserve">The following steps assign an Entra security group to a role on an Enterprise</w:t>
      </w:r>
      <w:r>
        <w:t xml:space="preserve"> </w:t>
      </w:r>
      <w:r>
        <w:t xml:space="preserve">Application, granting the group’s members access to the application.</w:t>
      </w:r>
    </w:p>
    <w:p>
      <w:pPr>
        <w:pStyle w:val="Compact"/>
        <w:numPr>
          <w:ilvl w:val="0"/>
          <w:numId w:val="1015"/>
        </w:numPr>
      </w:pPr>
      <w:r>
        <w:rPr>
          <w:b/>
          <w:bCs/>
        </w:rPr>
        <w:t xml:space="preserve">Verify RITM prerequisites:</w:t>
      </w:r>
      <w:r>
        <w:t xml:space="preserve"> </w:t>
      </w:r>
      <w:r>
        <w:t xml:space="preserve">Confirm the ServiceNow RITM is in</w:t>
      </w:r>
      <w:r>
        <w:t xml:space="preserve"> </w:t>
      </w:r>
      <w:r>
        <w:t xml:space="preserve">“Assigned”</w:t>
      </w:r>
      <w:r>
        <w:t xml:space="preserve"> </w:t>
      </w:r>
      <w:r>
        <w:t xml:space="preserve">status, all SAM approvals are complete, and the RITM contains the group name,</w:t>
      </w:r>
      <w:r>
        <w:t xml:space="preserve"> </w:t>
      </w:r>
      <w:r>
        <w:t xml:space="preserve">application name, and app role name.</w:t>
      </w:r>
    </w:p>
    <w:p>
      <w:pPr>
        <w:pStyle w:val="Compact"/>
        <w:numPr>
          <w:ilvl w:val="0"/>
          <w:numId w:val="1015"/>
        </w:numPr>
      </w:pPr>
      <w:r>
        <w:rPr>
          <w:b/>
          <w:bCs/>
        </w:rPr>
        <w:t xml:space="preserve">Activate PIM — Application Administrator:</w:t>
      </w:r>
      <w:r>
        <w:t xml:space="preserve"> </w:t>
      </w:r>
      <w:r>
        <w:t xml:space="preserve">Navigate to Entra Portal →</w:t>
      </w:r>
      <w:r>
        <w:t xml:space="preserve"> </w:t>
      </w:r>
      <w:r>
        <w:t xml:space="preserve">Identity Governance → Privileged Identity Management → My Roles → Eligible</w:t>
      </w:r>
      <w:r>
        <w:t xml:space="preserve"> </w:t>
      </w:r>
      <w:r>
        <w:t xml:space="preserve">Assignments. Activate</w:t>
      </w:r>
      <w:r>
        <w:t xml:space="preserve"> </w:t>
      </w:r>
      <w:r>
        <w:rPr>
          <w:b/>
          <w:bCs/>
        </w:rPr>
        <w:t xml:space="preserve">Application Administrator</w:t>
      </w:r>
      <w:r>
        <w:t xml:space="preserve">. Enter the RITM number and a</w:t>
      </w:r>
      <w:r>
        <w:t xml:space="preserve"> </w:t>
      </w:r>
      <w:r>
        <w:t xml:space="preserve">brief action description in the justification field. Submit for supervisor</w:t>
      </w:r>
      <w:r>
        <w:t xml:space="preserve"> </w:t>
      </w:r>
      <w:r>
        <w:t xml:space="preserve">approval. Wait for approval confirmation before proceeding.</w:t>
      </w:r>
    </w:p>
    <w:p>
      <w:pPr>
        <w:pStyle w:val="Compact"/>
        <w:numPr>
          <w:ilvl w:val="0"/>
          <w:numId w:val="1015"/>
        </w:numPr>
      </w:pPr>
      <w:r>
        <w:rPr>
          <w:b/>
          <w:bCs/>
        </w:rPr>
        <w:t xml:space="preserve">Navigate to Enterprise Applications:</w:t>
      </w:r>
      <w:r>
        <w:t xml:space="preserve"> </w:t>
      </w:r>
      <w:r>
        <w:t xml:space="preserve">In the Entra Portal, navigate to</w:t>
      </w:r>
      <w:r>
        <w:t xml:space="preserve"> </w:t>
      </w:r>
      <w:r>
        <w:rPr>
          <w:b/>
          <w:bCs/>
        </w:rPr>
        <w:t xml:space="preserve">Enterprise Applications</w:t>
      </w:r>
      <w:r>
        <w:t xml:space="preserve">. Search for the application by name as specified in</w:t>
      </w:r>
      <w:r>
        <w:t xml:space="preserve"> </w:t>
      </w:r>
      <w:r>
        <w:t xml:space="preserve">the RITM.</w:t>
      </w:r>
    </w:p>
    <w:p>
      <w:pPr>
        <w:pStyle w:val="Compact"/>
        <w:numPr>
          <w:ilvl w:val="0"/>
          <w:numId w:val="1015"/>
        </w:numPr>
      </w:pPr>
      <w:r>
        <w:rPr>
          <w:b/>
          <w:bCs/>
        </w:rPr>
        <w:t xml:space="preserve">Open Users and groups:</w:t>
      </w:r>
      <w:r>
        <w:t xml:space="preserve"> </w:t>
      </w:r>
      <w:r>
        <w:t xml:space="preserve">Select the application. In the left navigation,</w:t>
      </w:r>
      <w:r>
        <w:t xml:space="preserve"> </w:t>
      </w:r>
      <w:r>
        <w:t xml:space="preserve">select</w:t>
      </w:r>
      <w:r>
        <w:t xml:space="preserve"> </w:t>
      </w:r>
      <w:r>
        <w:rPr>
          <w:b/>
          <w:bCs/>
        </w:rPr>
        <w:t xml:space="preserve">Users and groups</w:t>
      </w:r>
      <w:r>
        <w:t xml:space="preserve">.</w:t>
      </w:r>
    </w:p>
    <w:p>
      <w:pPr>
        <w:pStyle w:val="Compact"/>
        <w:numPr>
          <w:ilvl w:val="0"/>
          <w:numId w:val="1015"/>
        </w:numPr>
      </w:pPr>
      <w:r>
        <w:rPr>
          <w:b/>
          <w:bCs/>
        </w:rPr>
        <w:t xml:space="preserve">Add Assignment:</w:t>
      </w:r>
      <w:r>
        <w:t xml:space="preserve"> </w:t>
      </w:r>
      <w:r>
        <w:t xml:space="preserve">Click</w:t>
      </w:r>
      <w:r>
        <w:t xml:space="preserve"> </w:t>
      </w:r>
      <w:r>
        <w:rPr>
          <w:b/>
          <w:bCs/>
        </w:rPr>
        <w:t xml:space="preserve">+ Add user/group</w:t>
      </w:r>
      <w:r>
        <w:t xml:space="preserve">. In the assignment panel, click</w:t>
      </w:r>
      <w:r>
        <w:t xml:space="preserve"> </w:t>
      </w:r>
      <w:r>
        <w:rPr>
          <w:b/>
          <w:bCs/>
        </w:rPr>
        <w:t xml:space="preserve">None Selected</w:t>
      </w:r>
      <w:r>
        <w:t xml:space="preserve"> </w:t>
      </w:r>
      <w:r>
        <w:t xml:space="preserve">under Users and groups. Search for and select the Entra</w:t>
      </w:r>
      <w:r>
        <w:t xml:space="preserve"> </w:t>
      </w:r>
      <w:r>
        <w:t xml:space="preserve">security group specified in the RITM.</w:t>
      </w:r>
    </w:p>
    <w:p>
      <w:pPr>
        <w:pStyle w:val="Compact"/>
        <w:numPr>
          <w:ilvl w:val="0"/>
          <w:numId w:val="1015"/>
        </w:numPr>
      </w:pPr>
      <w:r>
        <w:rPr>
          <w:b/>
          <w:bCs/>
        </w:rPr>
        <w:t xml:space="preserve">Select App Role:</w:t>
      </w:r>
      <w:r>
        <w:t xml:space="preserve"> </w:t>
      </w:r>
      <w:r>
        <w:t xml:space="preserve">Click</w:t>
      </w:r>
      <w:r>
        <w:t xml:space="preserve"> </w:t>
      </w:r>
      <w:r>
        <w:rPr>
          <w:b/>
          <w:bCs/>
        </w:rPr>
        <w:t xml:space="preserve">None Selected</w:t>
      </w:r>
      <w:r>
        <w:t xml:space="preserve"> </w:t>
      </w:r>
      <w:r>
        <w:t xml:space="preserve">under Select a role. Select the app</w:t>
      </w:r>
      <w:r>
        <w:t xml:space="preserve"> </w:t>
      </w:r>
      <w:r>
        <w:t xml:space="preserve">role specified in the RITM. If only one role exists, it will be pre-selected.</w:t>
      </w:r>
    </w:p>
    <w:p>
      <w:pPr>
        <w:pStyle w:val="Compact"/>
        <w:numPr>
          <w:ilvl w:val="0"/>
          <w:numId w:val="1015"/>
        </w:numPr>
      </w:pPr>
      <w:r>
        <w:rPr>
          <w:b/>
          <w:bCs/>
        </w:rPr>
        <w:t xml:space="preserve">Confirm Assignment:</w:t>
      </w:r>
      <w:r>
        <w:t xml:space="preserve"> </w:t>
      </w:r>
      <w:r>
        <w:t xml:space="preserve">Click</w:t>
      </w:r>
      <w:r>
        <w:t xml:space="preserve"> </w:t>
      </w:r>
      <w:r>
        <w:rPr>
          <w:b/>
          <w:bCs/>
        </w:rPr>
        <w:t xml:space="preserve">Assign</w:t>
      </w:r>
      <w:r>
        <w:t xml:space="preserve">. Verify the group now appears in the</w:t>
      </w:r>
      <w:r>
        <w:t xml:space="preserve"> </w:t>
      </w:r>
      <w:r>
        <w:t xml:space="preserve">Users and groups list for the application with the correct role.</w:t>
      </w:r>
    </w:p>
    <w:p>
      <w:pPr>
        <w:pStyle w:val="Compact"/>
        <w:numPr>
          <w:ilvl w:val="0"/>
          <w:numId w:val="1015"/>
        </w:numPr>
      </w:pPr>
      <w:r>
        <w:rPr>
          <w:b/>
          <w:bCs/>
        </w:rPr>
        <w:t xml:space="preserve">Validate:</w:t>
      </w:r>
      <w:r>
        <w:t xml:space="preserve"> </w:t>
      </w:r>
      <w:r>
        <w:t xml:space="preserve">Confirm the group assignment persists after page refresh. If the</w:t>
      </w:r>
      <w:r>
        <w:t xml:space="preserve"> </w:t>
      </w:r>
      <w:r>
        <w:t xml:space="preserve">group does not appear, do not close the ticket — document the failure and</w:t>
      </w:r>
      <w:r>
        <w:t xml:space="preserve"> </w:t>
      </w:r>
      <w:r>
        <w:t xml:space="preserve">escalate to Identity Engineering.</w:t>
      </w:r>
    </w:p>
    <w:p>
      <w:pPr>
        <w:pStyle w:val="Compact"/>
        <w:numPr>
          <w:ilvl w:val="0"/>
          <w:numId w:val="1015"/>
        </w:numPr>
      </w:pPr>
      <w:r>
        <w:rPr>
          <w:b/>
          <w:bCs/>
        </w:rPr>
        <w:t xml:space="preserve">Document in ServiceNow:</w:t>
      </w:r>
      <w:r>
        <w:t xml:space="preserve"> </w:t>
      </w:r>
      <w:r>
        <w:t xml:space="preserve">In the RITM work notes, record: action performed,</w:t>
      </w:r>
      <w:r>
        <w:t xml:space="preserve"> </w:t>
      </w:r>
      <w:r>
        <w:t xml:space="preserve">group name assigned, application name, app role assigned, time of action, and</w:t>
      </w:r>
      <w:r>
        <w:t xml:space="preserve"> </w:t>
      </w:r>
      <w:r>
        <w:t xml:space="preserve">your UPN. Attach a screenshot if the agency’s ServiceNow configuration supports</w:t>
      </w:r>
      <w:r>
        <w:t xml:space="preserve"> </w:t>
      </w:r>
      <w:r>
        <w:t xml:space="preserve">attachments.</w:t>
      </w:r>
    </w:p>
    <w:p>
      <w:pPr>
        <w:pStyle w:val="Compact"/>
        <w:numPr>
          <w:ilvl w:val="0"/>
          <w:numId w:val="1015"/>
        </w:numPr>
      </w:pPr>
      <w:r>
        <w:rPr>
          <w:b/>
          <w:bCs/>
        </w:rPr>
        <w:t xml:space="preserve">Deactivate PIM session:</w:t>
      </w:r>
      <w:r>
        <w:t xml:space="preserve"> </w:t>
      </w:r>
      <w:r>
        <w:t xml:space="preserve">After completing the action and documentation,</w:t>
      </w:r>
      <w:r>
        <w:t xml:space="preserve"> </w:t>
      </w:r>
      <w:r>
        <w:t xml:space="preserve">return to PIM and deactivate the Application Administrator role. Do not leave</w:t>
      </w:r>
      <w:r>
        <w:t xml:space="preserve"> </w:t>
      </w:r>
      <w:r>
        <w:t xml:space="preserve">the role active beyond the time needed for the task.</w:t>
      </w:r>
    </w:p>
    <w:p>
      <w:pPr>
        <w:pStyle w:val="Compact"/>
        <w:numPr>
          <w:ilvl w:val="0"/>
          <w:numId w:val="1015"/>
        </w:numPr>
      </w:pPr>
      <w:r>
        <w:rPr>
          <w:b/>
          <w:bCs/>
        </w:rPr>
        <w:t xml:space="preserve">Resolve RITM:</w:t>
      </w:r>
      <w:r>
        <w:t xml:space="preserve"> </w:t>
      </w:r>
      <w:r>
        <w:t xml:space="preserve">Set the RITM to</w:t>
      </w:r>
      <w:r>
        <w:t xml:space="preserve"> </w:t>
      </w:r>
      <w:r>
        <w:t xml:space="preserve">“Resolved”</w:t>
      </w:r>
      <w:r>
        <w:t xml:space="preserve"> </w:t>
      </w:r>
      <w:r>
        <w:t xml:space="preserve">with resolution code</w:t>
      </w:r>
      <w:r>
        <w:t xml:space="preserve"> </w:t>
      </w:r>
      <w:r>
        <w:t xml:space="preserve">“Successfully</w:t>
      </w:r>
      <w:r>
        <w:t xml:space="preserve"> </w:t>
      </w:r>
      <w:r>
        <w:t xml:space="preserve">Completed.”</w:t>
      </w:r>
      <w:r>
        <w:t xml:space="preserve"> </w:t>
      </w:r>
      <w:r>
        <w:t xml:space="preserve">Notify the requesting party per ticket workflow.</w:t>
      </w:r>
    </w:p>
    <w:bookmarkEnd w:id="62"/>
    <w:bookmarkStart w:id="63" w:name="X57893134cde92fe4a12faed80f2481416835a03"/>
    <w:p>
      <w:pPr>
        <w:pStyle w:val="Heading3"/>
      </w:pPr>
      <w:r>
        <w:t xml:space="preserve">Removing a group from an Enterprise Application</w:t>
      </w:r>
    </w:p>
    <w:p>
      <w:pPr>
        <w:pStyle w:val="Compact"/>
        <w:numPr>
          <w:ilvl w:val="0"/>
          <w:numId w:val="1016"/>
        </w:numPr>
      </w:pPr>
      <w:r>
        <w:t xml:space="preserve">Verify RITM prerequisites as in the assignment procedure, Step 1. Confirm the</w:t>
      </w:r>
      <w:r>
        <w:t xml:space="preserve"> </w:t>
      </w:r>
      <w:r>
        <w:t xml:space="preserve">removal is SAM-certification-driven or IGO-directed.</w:t>
      </w:r>
    </w:p>
    <w:p>
      <w:pPr>
        <w:pStyle w:val="Compact"/>
        <w:numPr>
          <w:ilvl w:val="0"/>
          <w:numId w:val="1016"/>
        </w:numPr>
      </w:pPr>
      <w:r>
        <w:t xml:space="preserve">Activate PIM — Application Administrator (same as the assignment procedure, Step</w:t>
      </w:r>
      <w:r>
        <w:t xml:space="preserve"> </w:t>
      </w:r>
      <w:r>
        <w:t xml:space="preserve">2).</w:t>
      </w:r>
    </w:p>
    <w:p>
      <w:pPr>
        <w:pStyle w:val="Compact"/>
        <w:numPr>
          <w:ilvl w:val="0"/>
          <w:numId w:val="1016"/>
        </w:numPr>
      </w:pPr>
      <w:r>
        <w:t xml:space="preserve">Navigate to Enterprise Applications → [Application] → Users and groups.</w:t>
      </w:r>
    </w:p>
    <w:p>
      <w:pPr>
        <w:pStyle w:val="Compact"/>
        <w:numPr>
          <w:ilvl w:val="0"/>
          <w:numId w:val="1016"/>
        </w:numPr>
      </w:pPr>
      <w:r>
        <w:t xml:space="preserve">Locate the group to be removed. Check the checkbox next to the group name.</w:t>
      </w:r>
    </w:p>
    <w:p>
      <w:pPr>
        <w:pStyle w:val="Compact"/>
        <w:numPr>
          <w:ilvl w:val="0"/>
          <w:numId w:val="1016"/>
        </w:numPr>
      </w:pPr>
      <w:r>
        <w:t xml:space="preserve">Click</w:t>
      </w:r>
      <w:r>
        <w:t xml:space="preserve"> </w:t>
      </w:r>
      <w:r>
        <w:rPr>
          <w:b/>
          <w:bCs/>
        </w:rPr>
        <w:t xml:space="preserve">Remove</w:t>
      </w:r>
      <w:r>
        <w:t xml:space="preserve"> </w:t>
      </w:r>
      <w:r>
        <w:t xml:space="preserve">in the toolbar. Confirm the removal in the dialog.</w:t>
      </w:r>
    </w:p>
    <w:p>
      <w:pPr>
        <w:pStyle w:val="Compact"/>
        <w:numPr>
          <w:ilvl w:val="0"/>
          <w:numId w:val="1016"/>
        </w:numPr>
      </w:pPr>
      <w:r>
        <w:t xml:space="preserve">Verify the group no longer appears in the Users and groups list.</w:t>
      </w:r>
    </w:p>
    <w:p>
      <w:pPr>
        <w:pStyle w:val="Compact"/>
        <w:numPr>
          <w:ilvl w:val="0"/>
          <w:numId w:val="1016"/>
        </w:numPr>
      </w:pPr>
      <w:r>
        <w:t xml:space="preserve">Document in ServiceNow as in the assignment procedure, Step 9. Deactivate PIM</w:t>
      </w:r>
      <w:r>
        <w:t xml:space="preserve"> </w:t>
      </w:r>
      <w:r>
        <w:t xml:space="preserve">session. Resolve RITM.</w:t>
      </w:r>
    </w:p>
    <w:bookmarkEnd w:id="63"/>
    <w:bookmarkStart w:id="64" w:name="validating-existing-app-role-assignments"/>
    <w:p>
      <w:pPr>
        <w:pStyle w:val="Heading3"/>
      </w:pPr>
      <w:r>
        <w:t xml:space="preserve">Validating existing app role assignments</w:t>
      </w:r>
    </w:p>
    <w:p>
      <w:pPr>
        <w:pStyle w:val="FirstParagraph"/>
      </w:pPr>
      <w:r>
        <w:t xml:space="preserve">For audit or triage purposes, Help Desk may review existing app role assignments.</w:t>
      </w:r>
      <w:r>
        <w:t xml:space="preserve"> </w:t>
      </w:r>
      <w:r>
        <w:t xml:space="preserve">This is a read-only action and does not require PIM elevation if the technician</w:t>
      </w:r>
      <w:r>
        <w:t xml:space="preserve"> </w:t>
      </w:r>
      <w:r>
        <w:t xml:space="preserve">has been granted reader access. Navigate to: Entra Portal → Enterprise</w:t>
      </w:r>
      <w:r>
        <w:t xml:space="preserve"> </w:t>
      </w:r>
      <w:r>
        <w:t xml:space="preserve">Applications → [Application] → Users and groups. Review the list of assigned users</w:t>
      </w:r>
      <w:r>
        <w:t xml:space="preserve"> </w:t>
      </w:r>
      <w:r>
        <w:t xml:space="preserve">and groups, their assigned roles, and assignment dates. Document findings in the</w:t>
      </w:r>
      <w:r>
        <w:t xml:space="preserve"> </w:t>
      </w:r>
      <w:r>
        <w:t xml:space="preserve">associated ServiceNow ticket.</w:t>
      </w:r>
    </w:p>
    <w:bookmarkEnd w:id="64"/>
    <w:bookmarkStart w:id="65" w:name="X6f00c9e7d6c2b941b5a6280a0a88c2414bd8954"/>
    <w:p>
      <w:pPr>
        <w:pStyle w:val="Heading3"/>
      </w:pPr>
      <w:r>
        <w:t xml:space="preserve">Authorization summary for Enterprise App actions</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Action type</w:t>
            </w:r>
          </w:p>
        </w:tc>
        <w:tc>
          <w:tcPr/>
          <w:p>
            <w:pPr>
              <w:pStyle w:val="Compact"/>
            </w:pPr>
            <w:r>
              <w:rPr>
                <w:b/>
                <w:bCs/>
              </w:rPr>
              <w:t xml:space="preserve">Authorizing body</w:t>
            </w:r>
          </w:p>
        </w:tc>
        <w:tc>
          <w:tcPr/>
          <w:p>
            <w:pPr>
              <w:pStyle w:val="Compact"/>
            </w:pPr>
            <w:r>
              <w:rPr>
                <w:b/>
                <w:bCs/>
              </w:rPr>
              <w:t xml:space="preserve">SAM approval required</w:t>
            </w:r>
          </w:p>
        </w:tc>
        <w:tc>
          <w:tcPr/>
          <w:p>
            <w:pPr>
              <w:pStyle w:val="Compact"/>
            </w:pPr>
            <w:r>
              <w:rPr>
                <w:b/>
                <w:bCs/>
              </w:rPr>
              <w:t xml:space="preserve">Additional approver</w:t>
            </w:r>
          </w:p>
        </w:tc>
        <w:tc>
          <w:tcPr/>
          <w:p>
            <w:pPr>
              <w:pStyle w:val="Compact"/>
            </w:pPr>
            <w:r>
              <w:rPr>
                <w:b/>
                <w:bCs/>
              </w:rPr>
              <w:t xml:space="preserve">PIM role</w:t>
            </w:r>
          </w:p>
        </w:tc>
      </w:tr>
      <w:tr>
        <w:tc>
          <w:tcPr/>
          <w:p>
            <w:pPr>
              <w:pStyle w:val="Compact"/>
            </w:pPr>
            <w:r>
              <w:t xml:space="preserve">Assign group to app role (new access)</w:t>
            </w:r>
          </w:p>
        </w:tc>
        <w:tc>
          <w:tcPr/>
          <w:p>
            <w:pPr>
              <w:pStyle w:val="Compact"/>
            </w:pPr>
            <w:r>
              <w:t xml:space="preserve">SAM (Business Approver + App Owner)</w:t>
            </w:r>
          </w:p>
        </w:tc>
        <w:tc>
          <w:tcPr/>
          <w:p>
            <w:pPr>
              <w:pStyle w:val="Compact"/>
            </w:pPr>
            <w:r>
              <w:t xml:space="preserve">Yes</w:t>
            </w:r>
          </w:p>
        </w:tc>
        <w:tc>
          <w:tcPr/>
          <w:p>
            <w:pPr>
              <w:pStyle w:val="Compact"/>
            </w:pPr>
            <w:r>
              <w:t xml:space="preserve">None</w:t>
            </w:r>
          </w:p>
        </w:tc>
        <w:tc>
          <w:tcPr/>
          <w:p>
            <w:pPr>
              <w:pStyle w:val="Compact"/>
            </w:pPr>
            <w:r>
              <w:t xml:space="preserve">Application Administrator</w:t>
            </w:r>
          </w:p>
        </w:tc>
      </w:tr>
      <w:tr>
        <w:tc>
          <w:tcPr/>
          <w:p>
            <w:pPr>
              <w:pStyle w:val="Compact"/>
            </w:pPr>
            <w:r>
              <w:t xml:space="preserve">Remove group from app role (revocation)</w:t>
            </w:r>
          </w:p>
        </w:tc>
        <w:tc>
          <w:tcPr/>
          <w:p>
            <w:pPr>
              <w:pStyle w:val="Compact"/>
            </w:pPr>
            <w:r>
              <w:t xml:space="preserve">SAM (certification result or IGO direction)</w:t>
            </w:r>
          </w:p>
        </w:tc>
        <w:tc>
          <w:tcPr/>
          <w:p>
            <w:pPr>
              <w:pStyle w:val="Compact"/>
            </w:pPr>
            <w:r>
              <w:t xml:space="preserve">Yes</w:t>
            </w:r>
          </w:p>
        </w:tc>
        <w:tc>
          <w:tcPr/>
          <w:p>
            <w:pPr>
              <w:pStyle w:val="Compact"/>
            </w:pPr>
            <w:r>
              <w:t xml:space="preserve">None</w:t>
            </w:r>
          </w:p>
        </w:tc>
        <w:tc>
          <w:tcPr/>
          <w:p>
            <w:pPr>
              <w:pStyle w:val="Compact"/>
            </w:pPr>
            <w:r>
              <w:t xml:space="preserve">Application Administrator</w:t>
            </w:r>
          </w:p>
        </w:tc>
      </w:tr>
      <w:tr>
        <w:tc>
          <w:tcPr/>
          <w:p>
            <w:pPr>
              <w:pStyle w:val="Compact"/>
            </w:pPr>
            <w:r>
              <w:t xml:space="preserve">Read/view app role assignments (audit)</w:t>
            </w:r>
          </w:p>
        </w:tc>
        <w:tc>
          <w:tcPr/>
          <w:p>
            <w:pPr>
              <w:pStyle w:val="Compact"/>
            </w:pPr>
            <w:r>
              <w:t xml:space="preserve">Help Desk Supervisor (informal)</w:t>
            </w:r>
          </w:p>
        </w:tc>
        <w:tc>
          <w:tcPr/>
          <w:p>
            <w:pPr>
              <w:pStyle w:val="Compact"/>
            </w:pPr>
            <w:r>
              <w:t xml:space="preserve">No</w:t>
            </w:r>
          </w:p>
        </w:tc>
        <w:tc>
          <w:tcPr/>
          <w:p>
            <w:pPr>
              <w:pStyle w:val="Compact"/>
            </w:pPr>
            <w:r>
              <w:t xml:space="preserve">None</w:t>
            </w:r>
          </w:p>
        </w:tc>
        <w:tc>
          <w:tcPr/>
          <w:p>
            <w:pPr>
              <w:pStyle w:val="Compact"/>
            </w:pPr>
            <w:r>
              <w:t xml:space="preserve">None required (read-only)</w:t>
            </w:r>
          </w:p>
        </w:tc>
      </w:tr>
      <w:tr>
        <w:tc>
          <w:tcPr/>
          <w:p>
            <w:pPr>
              <w:pStyle w:val="Compact"/>
            </w:pPr>
            <w:r>
              <w:t xml:space="preserve">Modify app role definitions or permissions</w:t>
            </w:r>
          </w:p>
        </w:tc>
        <w:tc>
          <w:tcPr/>
          <w:p>
            <w:pPr>
              <w:pStyle w:val="Compact"/>
            </w:pPr>
            <w:r>
              <w:rPr>
                <w:b/>
                <w:bCs/>
              </w:rPr>
              <w:t xml:space="preserve">OUT OF SCOPE — NOT AUTHORIZED</w:t>
            </w:r>
          </w:p>
        </w:tc>
        <w:tc>
          <w:tcPr/>
          <w:p>
            <w:pPr>
              <w:pStyle w:val="Compact"/>
            </w:pPr>
            <w:r>
              <w:t xml:space="preserve">N/A</w:t>
            </w:r>
          </w:p>
        </w:tc>
        <w:tc>
          <w:tcPr/>
          <w:p>
            <w:pPr>
              <w:pStyle w:val="Compact"/>
            </w:pPr>
            <w:r>
              <w:t xml:space="preserve">N/A</w:t>
            </w:r>
          </w:p>
        </w:tc>
        <w:tc>
          <w:tcPr/>
          <w:p>
            <w:pPr>
              <w:pStyle w:val="Compact"/>
            </w:pPr>
            <w:r>
              <w:t xml:space="preserve">N/A</w:t>
            </w:r>
          </w:p>
        </w:tc>
      </w:tr>
    </w:tbl>
    <w:bookmarkEnd w:id="65"/>
    <w:bookmarkEnd w:id="66"/>
    <w:bookmarkStart w:id="73" w:name="hybrid-identity-operations"/>
    <w:p>
      <w:pPr>
        <w:pStyle w:val="Heading2"/>
      </w:pPr>
      <w:r>
        <w:t xml:space="preserve">Hybrid identity operations</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67" name="Picture"/>
                  <a:graphic>
                    <a:graphicData uri="http://schemas.openxmlformats.org/drawingml/2006/picture">
                      <pic:pic>
                        <pic:nvPicPr>
                          <pic:cNvPr descr="/opt/quarto/share/formats/docx/warning.png" id="68"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High-risk operations</w:t>
            </w:r>
          </w:p>
        </w:tc>
      </w:tr>
      <w:tr>
        <w:trPr>
          <w:cantSplit/>
        </w:trPr>
        <w:tc>
          <w:tcPr>
            <w:tcMar>
              <w:top w:w="108" w:type="dxa"/>
              <w:bottom w:w="108" w:type="dxa"/>
            </w:tcMar>
          </w:tcPr>
          <w:p>
            <w:pPr>
              <w:pStyle w:val="BodyText"/>
            </w:pPr>
            <w:pPr>
              <w:spacing w:before="16" w:after="16"/>
            </w:pPr>
            <w:r>
              <w:t xml:space="preserve">Hybrid identity operations — particularly ImmutableID resets — carry significant</w:t>
            </w:r>
            <w:r>
              <w:t xml:space="preserve"> </w:t>
            </w:r>
            <w:r>
              <w:t xml:space="preserve">risk of user account disruption, duplicate object creation, or unrecoverable sync</w:t>
            </w:r>
            <w:r>
              <w:t xml:space="preserve"> </w:t>
            </w:r>
            <w:r>
              <w:t xml:space="preserve">state.</w:t>
            </w:r>
            <w:r>
              <w:t xml:space="preserve"> </w:t>
            </w:r>
            <w:r>
              <w:rPr>
                <w:b/>
                <w:bCs/>
              </w:rPr>
              <w:t xml:space="preserve">Help Desk must not proceed with any ImmutableID operation until both the</w:t>
            </w:r>
            <w:r>
              <w:rPr>
                <w:b/>
                <w:bCs/>
              </w:rPr>
              <w:t xml:space="preserve"> </w:t>
            </w:r>
            <w:r>
              <w:rPr>
                <w:b/>
                <w:bCs/>
              </w:rPr>
              <w:t xml:space="preserve">Identity Engineering Lead and the IGO have approved the RITM.</w:t>
            </w:r>
            <w:r>
              <w:t xml:space="preserve"> </w:t>
            </w:r>
            <w:r>
              <w:t xml:space="preserve">If there is any</w:t>
            </w:r>
            <w:r>
              <w:t xml:space="preserve"> </w:t>
            </w:r>
            <w:r>
              <w:t xml:space="preserve">doubt about the correct ImmutableID value to set, stop and contact Identity</w:t>
            </w:r>
            <w:r>
              <w:t xml:space="preserve"> </w:t>
            </w:r>
            <w:r>
              <w:t xml:space="preserve">Engineering before proceeding.</w:t>
            </w:r>
          </w:p>
          <w:p/>
        </w:tc>
      </w:tr>
    </w:tbl>
    <w:bookmarkStart w:id="69" w:name="immutableid-reset-procedure"/>
    <w:p>
      <w:pPr>
        <w:pStyle w:val="Heading3"/>
      </w:pPr>
      <w:r>
        <w:t xml:space="preserve">ImmutableID reset procedure</w:t>
      </w:r>
    </w:p>
    <w:p>
      <w:pPr>
        <w:pStyle w:val="FirstParagraph"/>
      </w:pPr>
      <w:r>
        <w:t xml:space="preserve">The</w:t>
      </w:r>
      <w:r>
        <w:t xml:space="preserve"> </w:t>
      </w:r>
      <w:r>
        <w:rPr>
          <w:b/>
          <w:bCs/>
        </w:rPr>
        <w:t xml:space="preserve">ImmutableID</w:t>
      </w:r>
      <w:r>
        <w:t xml:space="preserve"> </w:t>
      </w:r>
      <w:r>
        <w:t xml:space="preserve">(also called</w:t>
      </w:r>
      <w:r>
        <w:t xml:space="preserve"> </w:t>
      </w:r>
      <w:r>
        <w:rPr>
          <w:i/>
          <w:iCs/>
        </w:rPr>
        <w:t xml:space="preserve">onPremisesImmutableId</w:t>
      </w:r>
      <w:r>
        <w:t xml:space="preserve"> </w:t>
      </w:r>
      <w:r>
        <w:t xml:space="preserve">in Microsoft Graph) is</w:t>
      </w:r>
      <w:r>
        <w:t xml:space="preserve"> </w:t>
      </w:r>
      <w:r>
        <w:t xml:space="preserve">the attribute that links a cloud Entra ID user object to its corresponding</w:t>
      </w:r>
      <w:r>
        <w:t xml:space="preserve"> </w:t>
      </w:r>
      <w:r>
        <w:t xml:space="preserve">on-premises Active Directory object. If this value is mismatched, corrupted, or</w:t>
      </w:r>
      <w:r>
        <w:t xml:space="preserve"> </w:t>
      </w:r>
      <w:r>
        <w:t xml:space="preserve">absent, the user account will fail to synchronize and may experience</w:t>
      </w:r>
      <w:r>
        <w:t xml:space="preserve"> </w:t>
      </w:r>
      <w:r>
        <w:t xml:space="preserve">authentication failures, license issues, or a duplicate cloud account.</w:t>
      </w:r>
    </w:p>
    <w:p>
      <w:pPr>
        <w:pStyle w:val="Compact"/>
        <w:numPr>
          <w:ilvl w:val="0"/>
          <w:numId w:val="1017"/>
        </w:numPr>
      </w:pPr>
      <w:r>
        <w:rPr>
          <w:b/>
          <w:bCs/>
        </w:rPr>
        <w:t xml:space="preserve">Verify dual approval in RITM:</w:t>
      </w:r>
      <w:r>
        <w:t xml:space="preserve"> </w:t>
      </w:r>
      <w:r>
        <w:t xml:space="preserve">Confirm the ServiceNow RITM contains approval</w:t>
      </w:r>
      <w:r>
        <w:t xml:space="preserve"> </w:t>
      </w:r>
      <w:r>
        <w:t xml:space="preserve">records for both the</w:t>
      </w:r>
      <w:r>
        <w:t xml:space="preserve"> </w:t>
      </w:r>
      <w:r>
        <w:rPr>
          <w:b/>
          <w:bCs/>
        </w:rPr>
        <w:t xml:space="preserve">Identity Engineering Lead</w:t>
      </w:r>
      <w:r>
        <w:t xml:space="preserve"> </w:t>
      </w:r>
      <w:r>
        <w:t xml:space="preserve">and the</w:t>
      </w:r>
      <w:r>
        <w:t xml:space="preserve"> </w:t>
      </w:r>
      <w:r>
        <w:rPr>
          <w:b/>
          <w:bCs/>
        </w:rPr>
        <w:t xml:space="preserve">IGO</w:t>
      </w:r>
      <w:r>
        <w:t xml:space="preserve">. Both</w:t>
      </w:r>
      <w:r>
        <w:t xml:space="preserve"> </w:t>
      </w:r>
      <w:r>
        <w:t xml:space="preserve">approvals must be in</w:t>
      </w:r>
      <w:r>
        <w:t xml:space="preserve"> </w:t>
      </w:r>
      <w:r>
        <w:t xml:space="preserve">“Approved”</w:t>
      </w:r>
      <w:r>
        <w:t xml:space="preserve"> </w:t>
      </w:r>
      <w:r>
        <w:t xml:space="preserve">status. If either is missing or pending, stop</w:t>
      </w:r>
      <w:r>
        <w:t xml:space="preserve"> </w:t>
      </w:r>
      <w:r>
        <w:t xml:space="preserve">and contact your supervisor.</w:t>
      </w:r>
    </w:p>
    <w:p>
      <w:pPr>
        <w:pStyle w:val="Compact"/>
        <w:numPr>
          <w:ilvl w:val="0"/>
          <w:numId w:val="1017"/>
        </w:numPr>
      </w:pPr>
      <w:r>
        <w:rPr>
          <w:b/>
          <w:bCs/>
        </w:rPr>
        <w:t xml:space="preserve">Confirm target information:</w:t>
      </w:r>
      <w:r>
        <w:t xml:space="preserve"> </w:t>
      </w:r>
      <w:r>
        <w:t xml:space="preserve">The RITM must contain the user’s</w:t>
      </w:r>
      <w:r>
        <w:t xml:space="preserve"> </w:t>
      </w:r>
      <w:r>
        <w:rPr>
          <w:b/>
          <w:bCs/>
        </w:rPr>
        <w:t xml:space="preserve">UPN</w:t>
      </w:r>
      <w:r>
        <w:t xml:space="preserve">, the</w:t>
      </w:r>
      <w:r>
        <w:t xml:space="preserve"> </w:t>
      </w:r>
      <w:r>
        <w:rPr>
          <w:b/>
          <w:bCs/>
        </w:rPr>
        <w:t xml:space="preserve">current ImmutableID</w:t>
      </w:r>
      <w:r>
        <w:t xml:space="preserve"> </w:t>
      </w:r>
      <w:r>
        <w:t xml:space="preserve">(if known), the</w:t>
      </w:r>
      <w:r>
        <w:t xml:space="preserve"> </w:t>
      </w:r>
      <w:r>
        <w:rPr>
          <w:b/>
          <w:bCs/>
        </w:rPr>
        <w:t xml:space="preserve">correct ImmutableID value to set</w:t>
      </w:r>
      <w:r>
        <w:t xml:space="preserve"> </w:t>
      </w:r>
      <w:r>
        <w:t xml:space="preserve">(the</w:t>
      </w:r>
      <w:r>
        <w:t xml:space="preserve"> </w:t>
      </w:r>
      <w:r>
        <w:t xml:space="preserve">Base64-encoded objectGUID from on-premises AD), and the reason for the reset. Do</w:t>
      </w:r>
      <w:r>
        <w:t xml:space="preserve"> </w:t>
      </w:r>
      <w:r>
        <w:t xml:space="preserve">not determine these values independently — they must be provided in the approved</w:t>
      </w:r>
      <w:r>
        <w:t xml:space="preserve"> </w:t>
      </w:r>
      <w:r>
        <w:t xml:space="preserve">ticket.</w:t>
      </w:r>
    </w:p>
    <w:p>
      <w:pPr>
        <w:pStyle w:val="Compact"/>
        <w:numPr>
          <w:ilvl w:val="0"/>
          <w:numId w:val="1017"/>
        </w:numPr>
      </w:pPr>
      <w:r>
        <w:rPr>
          <w:b/>
          <w:bCs/>
        </w:rPr>
        <w:t xml:space="preserve">Activate PIM — Hybrid Identity Administrator:</w:t>
      </w:r>
      <w:r>
        <w:t xml:space="preserve"> </w:t>
      </w:r>
      <w:r>
        <w:t xml:space="preserve">In Entra Portal → PIM → My</w:t>
      </w:r>
      <w:r>
        <w:t xml:space="preserve"> </w:t>
      </w:r>
      <w:r>
        <w:t xml:space="preserve">Roles → Eligible Assignments, activate</w:t>
      </w:r>
      <w:r>
        <w:t xml:space="preserve"> </w:t>
      </w:r>
      <w:r>
        <w:rPr>
          <w:b/>
          <w:bCs/>
        </w:rPr>
        <w:t xml:space="preserve">Hybrid Identity Administrator</w:t>
      </w:r>
      <w:r>
        <w:t xml:space="preserve">. Enter</w:t>
      </w:r>
      <w:r>
        <w:t xml:space="preserve"> </w:t>
      </w:r>
      <w:r>
        <w:t xml:space="preserve">the RITM number in the justification field. Wait for supervisor approval.</w:t>
      </w:r>
    </w:p>
    <w:p>
      <w:pPr>
        <w:pStyle w:val="Compact"/>
        <w:numPr>
          <w:ilvl w:val="0"/>
          <w:numId w:val="1017"/>
        </w:numPr>
      </w:pPr>
      <w:r>
        <w:rPr>
          <w:b/>
          <w:bCs/>
        </w:rPr>
        <w:t xml:space="preserve">Connect to Microsoft Graph PowerShell (or MSOnline):</w:t>
      </w:r>
      <w:r>
        <w:t xml:space="preserve"> </w:t>
      </w:r>
      <w:r>
        <w:t xml:space="preserve">Open a privileged</w:t>
      </w:r>
      <w:r>
        <w:t xml:space="preserve"> </w:t>
      </w:r>
      <w:r>
        <w:t xml:space="preserve">PowerShell session. Connect using the elevated session credentials:</w:t>
      </w:r>
      <w:r>
        <w:t xml:space="preserve"> </w:t>
      </w:r>
      <w:r>
        <w:t xml:space="preserve">Connect-MgGraph -Scopes</w:t>
      </w:r>
      <w:r>
        <w:t xml:space="preserve"> </w:t>
      </w:r>
      <w:r>
        <w:t xml:space="preserve">“User.ReadWrite.All”</w:t>
      </w:r>
    </w:p>
    <w:p>
      <w:pPr>
        <w:pStyle w:val="Compact"/>
        <w:numPr>
          <w:ilvl w:val="0"/>
          <w:numId w:val="1017"/>
        </w:numPr>
      </w:pPr>
      <w:r>
        <w:rPr>
          <w:b/>
          <w:bCs/>
        </w:rPr>
        <w:t xml:space="preserve">Retrieve the current user object:</w:t>
      </w:r>
      <w:r>
        <w:t xml:space="preserve"> </w:t>
      </w:r>
      <w:r>
        <w:t xml:space="preserve">Run Get-MgUser -UserId [UPN] | Select</w:t>
      </w:r>
      <w:r>
        <w:t xml:space="preserve"> </w:t>
      </w:r>
      <w:r>
        <w:t xml:space="preserve">DisplayName, OnPremisesImmutableId. Confirm the displayed ImmutableID matches</w:t>
      </w:r>
      <w:r>
        <w:t xml:space="preserve"> </w:t>
      </w:r>
      <w:r>
        <w:t xml:space="preserve">what is documented in the RITM as the</w:t>
      </w:r>
      <w:r>
        <w:t xml:space="preserve"> </w:t>
      </w:r>
      <w:r>
        <w:t xml:space="preserve">“current”</w:t>
      </w:r>
      <w:r>
        <w:t xml:space="preserve"> </w:t>
      </w:r>
      <w:r>
        <w:t xml:space="preserve">value. If it does not match,</w:t>
      </w:r>
      <w:r>
        <w:t xml:space="preserve"> </w:t>
      </w:r>
      <w:r>
        <w:t xml:space="preserve">stop and contact Identity Engineering.</w:t>
      </w:r>
    </w:p>
    <w:p>
      <w:pPr>
        <w:pStyle w:val="Compact"/>
        <w:numPr>
          <w:ilvl w:val="0"/>
          <w:numId w:val="1017"/>
        </w:numPr>
      </w:pPr>
      <w:r>
        <w:rPr>
          <w:b/>
          <w:bCs/>
        </w:rPr>
        <w:t xml:space="preserve">Set the corrected ImmutableID:</w:t>
      </w:r>
      <w:r>
        <w:t xml:space="preserve"> </w:t>
      </w:r>
      <w:r>
        <w:t xml:space="preserve">Run Update-MgUser -UserId [UPN]</w:t>
      </w:r>
      <w:r>
        <w:t xml:space="preserve"> </w:t>
      </w:r>
      <w:r>
        <w:t xml:space="preserve">-OnPremisesImmutableId</w:t>
      </w:r>
      <w:r>
        <w:t xml:space="preserve"> </w:t>
      </w:r>
      <w:r>
        <w:t xml:space="preserve">“[CorrectValue]”</w:t>
      </w:r>
      <w:r>
        <w:t xml:space="preserve">. The correct value must exactly match</w:t>
      </w:r>
      <w:r>
        <w:t xml:space="preserve"> </w:t>
      </w:r>
      <w:r>
        <w:t xml:space="preserve">what is in the approved ticket.</w:t>
      </w:r>
    </w:p>
    <w:p>
      <w:pPr>
        <w:pStyle w:val="Compact"/>
        <w:numPr>
          <w:ilvl w:val="0"/>
          <w:numId w:val="1017"/>
        </w:numPr>
      </w:pPr>
      <w:r>
        <w:rPr>
          <w:b/>
          <w:bCs/>
        </w:rPr>
        <w:t xml:space="preserve">Verify the change:</w:t>
      </w:r>
      <w:r>
        <w:t xml:space="preserve"> </w:t>
      </w:r>
      <w:r>
        <w:t xml:space="preserve">Re-run the Get-MgUser command from Step 5 and confirm the</w:t>
      </w:r>
      <w:r>
        <w:t xml:space="preserve"> </w:t>
      </w:r>
      <w:r>
        <w:t xml:space="preserve">ImmutableID now reflects the correct value.</w:t>
      </w:r>
    </w:p>
    <w:p>
      <w:pPr>
        <w:pStyle w:val="Compact"/>
        <w:numPr>
          <w:ilvl w:val="0"/>
          <w:numId w:val="1017"/>
        </w:numPr>
      </w:pPr>
      <w:r>
        <w:rPr>
          <w:b/>
          <w:bCs/>
        </w:rPr>
        <w:t xml:space="preserve">Initiate re-sync (if directed by Identity Engineering):</w:t>
      </w:r>
      <w:r>
        <w:t xml:space="preserve"> </w:t>
      </w:r>
      <w:r>
        <w:t xml:space="preserve">On the Entra Connect</w:t>
      </w:r>
      <w:r>
        <w:t xml:space="preserve"> </w:t>
      </w:r>
      <w:r>
        <w:t xml:space="preserve">server (coordinated with on-premises AD team), run a delta sync:</w:t>
      </w:r>
      <w:r>
        <w:t xml:space="preserve"> </w:t>
      </w:r>
      <w:r>
        <w:t xml:space="preserve">Start-ADSyncSyncCycle -PolicyType Delta. Confirm the user object syncs</w:t>
      </w:r>
      <w:r>
        <w:t xml:space="preserve"> </w:t>
      </w:r>
      <w:r>
        <w:t xml:space="preserve">successfully in Entra Connect Health.</w:t>
      </w:r>
    </w:p>
    <w:p>
      <w:pPr>
        <w:pStyle w:val="Compact"/>
        <w:numPr>
          <w:ilvl w:val="0"/>
          <w:numId w:val="1017"/>
        </w:numPr>
      </w:pPr>
      <w:r>
        <w:rPr>
          <w:b/>
          <w:bCs/>
        </w:rPr>
        <w:t xml:space="preserve">Validate user account status:</w:t>
      </w:r>
      <w:r>
        <w:t xml:space="preserve"> </w:t>
      </w:r>
      <w:r>
        <w:t xml:space="preserve">In the Entra Portal, confirm the user account</w:t>
      </w:r>
      <w:r>
        <w:t xml:space="preserve"> </w:t>
      </w:r>
      <w:r>
        <w:t xml:space="preserve">is in a healthy sync state, UPN is correct, and no duplicate accounts exist.</w:t>
      </w:r>
    </w:p>
    <w:p>
      <w:pPr>
        <w:pStyle w:val="Compact"/>
        <w:numPr>
          <w:ilvl w:val="0"/>
          <w:numId w:val="1017"/>
        </w:numPr>
      </w:pPr>
      <w:r>
        <w:rPr>
          <w:b/>
          <w:bCs/>
        </w:rPr>
        <w:t xml:space="preserve">Document and resolve:</w:t>
      </w:r>
      <w:r>
        <w:t xml:space="preserve"> </w:t>
      </w:r>
      <w:r>
        <w:t xml:space="preserve">Enter full command output (sanitized of any</w:t>
      </w:r>
      <w:r>
        <w:t xml:space="preserve"> </w:t>
      </w:r>
      <w:r>
        <w:t xml:space="preserve">credentials) into the ServiceNow work notes. Deactivate PIM session. Resolve</w:t>
      </w:r>
      <w:r>
        <w:t xml:space="preserve"> </w:t>
      </w:r>
      <w:r>
        <w:t xml:space="preserve">RITM.</w:t>
      </w:r>
    </w:p>
    <w:bookmarkEnd w:id="69"/>
    <w:bookmarkStart w:id="70" w:name="sync-mismatch-identification-and-repair"/>
    <w:p>
      <w:pPr>
        <w:pStyle w:val="Heading3"/>
      </w:pPr>
      <w:r>
        <w:t xml:space="preserve">Sync mismatch identification and repair</w:t>
      </w:r>
    </w:p>
    <w:p>
      <w:pPr>
        <w:pStyle w:val="FirstParagraph"/>
      </w:pPr>
      <w:r>
        <w:t xml:space="preserve">When a user reports authentication failures or access loss that may be related to</w:t>
      </w:r>
      <w:r>
        <w:t xml:space="preserve"> </w:t>
      </w:r>
      <w:r>
        <w:t xml:space="preserve">hybrid identity, Help Desk should first check for sync mismatches before executing</w:t>
      </w:r>
      <w:r>
        <w:t xml:space="preserve"> </w:t>
      </w:r>
      <w:r>
        <w:t xml:space="preserve">any changes:</w:t>
      </w:r>
    </w:p>
    <w:p>
      <w:pPr>
        <w:pStyle w:val="Compact"/>
        <w:numPr>
          <w:ilvl w:val="0"/>
          <w:numId w:val="1018"/>
        </w:numPr>
      </w:pPr>
      <w:r>
        <w:t xml:space="preserve">In Entra Portal → Users → [User]: Check</w:t>
      </w:r>
      <w:r>
        <w:t xml:space="preserve"> </w:t>
      </w:r>
      <w:r>
        <w:t xml:space="preserve">“On-premises sync enabled”</w:t>
      </w:r>
      <w:r>
        <w:t xml:space="preserve"> </w:t>
      </w:r>
      <w:r>
        <w:t xml:space="preserve">status. If it</w:t>
      </w:r>
      <w:r>
        <w:t xml:space="preserve"> </w:t>
      </w:r>
      <w:r>
        <w:t xml:space="preserve">shows</w:t>
      </w:r>
      <w:r>
        <w:t xml:space="preserve"> </w:t>
      </w:r>
      <w:r>
        <w:t xml:space="preserve">“No”</w:t>
      </w:r>
      <w:r>
        <w:t xml:space="preserve"> </w:t>
      </w:r>
      <w:r>
        <w:t xml:space="preserve">for a user who should be hybrid-synced, a sync issue is present.</w:t>
      </w:r>
    </w:p>
    <w:p>
      <w:pPr>
        <w:pStyle w:val="Compact"/>
        <w:numPr>
          <w:ilvl w:val="0"/>
          <w:numId w:val="1018"/>
        </w:numPr>
      </w:pPr>
      <w:r>
        <w:t xml:space="preserve">Check</w:t>
      </w:r>
      <w:r>
        <w:t xml:space="preserve"> </w:t>
      </w:r>
      <w:r>
        <w:t xml:space="preserve">“Last sync time”</w:t>
      </w:r>
      <w:r>
        <w:t xml:space="preserve"> </w:t>
      </w:r>
      <w:r>
        <w:t xml:space="preserve">under the user’s On-Premises section. If sync is stale</w:t>
      </w:r>
      <w:r>
        <w:t xml:space="preserve"> </w:t>
      </w:r>
      <w:r>
        <w:t xml:space="preserve">(older than the Entra Connect sync cycle — typically 30 minutes), escalate to</w:t>
      </w:r>
      <w:r>
        <w:t xml:space="preserve"> </w:t>
      </w:r>
      <w:r>
        <w:t xml:space="preserve">Identity Engineering to check Entra Connect health.</w:t>
      </w:r>
    </w:p>
    <w:p>
      <w:pPr>
        <w:pStyle w:val="Compact"/>
        <w:numPr>
          <w:ilvl w:val="0"/>
          <w:numId w:val="1018"/>
        </w:numPr>
      </w:pPr>
      <w:r>
        <w:t xml:space="preserve">Check for duplicate user objects: Search Entra ID for the user’s display name and</w:t>
      </w:r>
      <w:r>
        <w:t xml:space="preserve"> </w:t>
      </w:r>
      <w:r>
        <w:t xml:space="preserve">confirm only one active object exists with the correct UPN.</w:t>
      </w:r>
    </w:p>
    <w:p>
      <w:pPr>
        <w:pStyle w:val="Compact"/>
        <w:numPr>
          <w:ilvl w:val="0"/>
          <w:numId w:val="1018"/>
        </w:numPr>
      </w:pPr>
      <w:r>
        <w:t xml:space="preserve">If duplicate objects are found, do not delete either object — escalate to</w:t>
      </w:r>
      <w:r>
        <w:t xml:space="preserve"> </w:t>
      </w:r>
      <w:r>
        <w:t xml:space="preserve">Identity Engineering immediately. Duplicate hybrid objects require careful merge</w:t>
      </w:r>
      <w:r>
        <w:t xml:space="preserve"> </w:t>
      </w:r>
      <w:r>
        <w:t xml:space="preserve">or clean-up procedures beyond Help Desk scope.</w:t>
      </w:r>
    </w:p>
    <w:bookmarkEnd w:id="70"/>
    <w:bookmarkStart w:id="71" w:name="entra-connect-health-checks"/>
    <w:p>
      <w:pPr>
        <w:pStyle w:val="Heading3"/>
      </w:pPr>
      <w:r>
        <w:t xml:space="preserve">Entra Connect health checks</w:t>
      </w:r>
    </w:p>
    <w:p>
      <w:pPr>
        <w:pStyle w:val="FirstParagraph"/>
      </w:pPr>
      <w:r>
        <w:t xml:space="preserve">Help Desk may perform read-only Entra Connect Health monitoring as a diagnostic</w:t>
      </w:r>
      <w:r>
        <w:t xml:space="preserve"> </w:t>
      </w:r>
      <w:r>
        <w:t xml:space="preserve">step. Navigate to Entra Portal → Entra Connect → Connect Health. Review sync</w:t>
      </w:r>
      <w:r>
        <w:t xml:space="preserve"> </w:t>
      </w:r>
      <w:r>
        <w:t xml:space="preserve">errors, agent status, and alert notifications. Help Desk</w:t>
      </w:r>
      <w:r>
        <w:t xml:space="preserve"> </w:t>
      </w:r>
      <w:r>
        <w:rPr>
          <w:b/>
          <w:bCs/>
        </w:rPr>
        <w:t xml:space="preserve">may not</w:t>
      </w:r>
      <w:r>
        <w:t xml:space="preserve"> </w:t>
      </w:r>
      <w:r>
        <w:t xml:space="preserve">modify Entra</w:t>
      </w:r>
      <w:r>
        <w:t xml:space="preserve"> </w:t>
      </w:r>
      <w:r>
        <w:t xml:space="preserve">Connect sync rules, connector configurations, or schedules. All modifications to</w:t>
      </w:r>
      <w:r>
        <w:t xml:space="preserve"> </w:t>
      </w:r>
      <w:r>
        <w:t xml:space="preserve">Entra Connect are reserved for Identity Engineering.</w:t>
      </w:r>
    </w:p>
    <w:bookmarkEnd w:id="71"/>
    <w:bookmarkStart w:id="72" w:name="Xbca496ec7612468cbfe13566fbc5e5abc7b3fbd"/>
    <w:p>
      <w:pPr>
        <w:pStyle w:val="Heading3"/>
      </w:pPr>
      <w:r>
        <w:t xml:space="preserve">Escalation to Tier 3 / Identity Engineering</w:t>
      </w:r>
    </w:p>
    <w:p>
      <w:pPr>
        <w:pStyle w:val="FirstParagraph"/>
      </w:pPr>
      <w:r>
        <w:t xml:space="preserve">The following conditions require immediate escalation to Identity Engineering and</w:t>
      </w:r>
      <w:r>
        <w:t xml:space="preserve"> </w:t>
      </w:r>
      <w:r>
        <w:t xml:space="preserve">suspension of Help Desk action:</w:t>
      </w:r>
    </w:p>
    <w:p>
      <w:pPr>
        <w:pStyle w:val="Compact"/>
        <w:numPr>
          <w:ilvl w:val="0"/>
          <w:numId w:val="1019"/>
        </w:numPr>
      </w:pPr>
      <w:r>
        <w:t xml:space="preserve">Duplicate user objects detected in Entra ID for a single on-premises account.</w:t>
      </w:r>
    </w:p>
    <w:p>
      <w:pPr>
        <w:pStyle w:val="Compact"/>
        <w:numPr>
          <w:ilvl w:val="0"/>
          <w:numId w:val="1019"/>
        </w:numPr>
      </w:pPr>
      <w:r>
        <w:t xml:space="preserve">ImmutableID value in the ticket does not match the current value in Entra ID.</w:t>
      </w:r>
    </w:p>
    <w:p>
      <w:pPr>
        <w:pStyle w:val="Compact"/>
        <w:numPr>
          <w:ilvl w:val="0"/>
          <w:numId w:val="1019"/>
        </w:numPr>
      </w:pPr>
      <w:r>
        <w:t xml:space="preserve">Entra Connect sync agent is in error state or not communicating.</w:t>
      </w:r>
    </w:p>
    <w:p>
      <w:pPr>
        <w:pStyle w:val="Compact"/>
        <w:numPr>
          <w:ilvl w:val="0"/>
          <w:numId w:val="1019"/>
        </w:numPr>
      </w:pPr>
      <w:r>
        <w:t xml:space="preserve">Password hash sync or pass-through authentication is failing tenant-wide.</w:t>
      </w:r>
    </w:p>
    <w:p>
      <w:pPr>
        <w:pStyle w:val="Compact"/>
        <w:numPr>
          <w:ilvl w:val="0"/>
          <w:numId w:val="1019"/>
        </w:numPr>
      </w:pPr>
      <w:r>
        <w:t xml:space="preserve">Any PowerShell command produces an error during an ImmutableID operation.</w:t>
      </w:r>
    </w:p>
    <w:p>
      <w:pPr>
        <w:pStyle w:val="Compact"/>
        <w:numPr>
          <w:ilvl w:val="0"/>
          <w:numId w:val="1019"/>
        </w:numPr>
      </w:pPr>
      <w:r>
        <w:t xml:space="preserve">User account does not recover to healthy sync state after ImmutableID reset and</w:t>
      </w:r>
      <w:r>
        <w:t xml:space="preserve"> </w:t>
      </w:r>
      <w:r>
        <w:t xml:space="preserve">delta sync.</w:t>
      </w:r>
    </w:p>
    <w:bookmarkEnd w:id="72"/>
    <w:bookmarkEnd w:id="73"/>
    <w:bookmarkStart w:id="90" w:name="X9f4500b4aa4b0f6a8ccccf689a80e62c2d08bae"/>
    <w:p>
      <w:pPr>
        <w:pStyle w:val="Heading2"/>
      </w:pPr>
      <w:r>
        <w:t xml:space="preserve">OneDrive sync issues — Help Desk triage and resolution guide</w:t>
      </w:r>
    </w:p>
    <w:bookmarkStart w:id="74" w:name="overview"/>
    <w:p>
      <w:pPr>
        <w:pStyle w:val="Heading3"/>
      </w:pPr>
      <w:r>
        <w:t xml:space="preserve">Overview</w:t>
      </w:r>
    </w:p>
    <w:p>
      <w:pPr>
        <w:pStyle w:val="FirstParagraph"/>
      </w:pPr>
      <w:r>
        <w:t xml:space="preserve">OneDrive sync failures frequently intersect with multiple layers of the identity</w:t>
      </w:r>
      <w:r>
        <w:t xml:space="preserve"> </w:t>
      </w:r>
      <w:r>
        <w:t xml:space="preserve">and device stack: Entra ID account status, license assignment, Conditional Access</w:t>
      </w:r>
      <w:r>
        <w:t xml:space="preserve"> </w:t>
      </w:r>
      <w:r>
        <w:t xml:space="preserve">policy enforcement, hybrid identity sync, device compliance, and OneDrive client</w:t>
      </w:r>
      <w:r>
        <w:t xml:space="preserve"> </w:t>
      </w:r>
      <w:r>
        <w:t xml:space="preserve">configuration. Help Desk is responsible for triaging all layers and resolving</w:t>
      </w:r>
      <w:r>
        <w:t xml:space="preserve"> </w:t>
      </w:r>
      <w:r>
        <w:t xml:space="preserve">those within its authority. Some root causes require PIM elevation; others are</w:t>
      </w:r>
      <w:r>
        <w:t xml:space="preserve"> </w:t>
      </w:r>
      <w:r>
        <w:t xml:space="preserve">pure client-side remediation. Conditional Access root causes must be escalated —</w:t>
      </w:r>
      <w:r>
        <w:t xml:space="preserve"> </w:t>
      </w:r>
      <w:r>
        <w:t xml:space="preserve">Help Desk may not modify CA policies.</w:t>
      </w:r>
    </w:p>
    <w:bookmarkEnd w:id="74"/>
    <w:bookmarkStart w:id="75" w:name="common-causes-reference-table"/>
    <w:p>
      <w:pPr>
        <w:pStyle w:val="Heading3"/>
      </w:pPr>
      <w:r>
        <w:t xml:space="preserve">Common causes reference table</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Cause</w:t>
            </w:r>
          </w:p>
        </w:tc>
        <w:tc>
          <w:tcPr/>
          <w:p>
            <w:pPr>
              <w:pStyle w:val="Compact"/>
            </w:pPr>
            <w:r>
              <w:rPr>
                <w:b/>
                <w:bCs/>
              </w:rPr>
              <w:t xml:space="preserve">Category</w:t>
            </w:r>
          </w:p>
        </w:tc>
        <w:tc>
          <w:tcPr/>
          <w:p>
            <w:pPr>
              <w:pStyle w:val="Compact"/>
            </w:pPr>
            <w:r>
              <w:rPr>
                <w:b/>
                <w:bCs/>
              </w:rPr>
              <w:t xml:space="preserve">Help Desk can resolve?</w:t>
            </w:r>
          </w:p>
        </w:tc>
        <w:tc>
          <w:tcPr/>
          <w:p>
            <w:pPr>
              <w:pStyle w:val="Compact"/>
            </w:pPr>
            <w:r>
              <w:rPr>
                <w:b/>
                <w:bCs/>
              </w:rPr>
              <w:t xml:space="preserve">Notes</w:t>
            </w:r>
          </w:p>
        </w:tc>
      </w:tr>
      <w:tr>
        <w:tc>
          <w:tcPr/>
          <w:p>
            <w:pPr>
              <w:pStyle w:val="Compact"/>
            </w:pPr>
            <w:r>
              <w:t xml:space="preserve">Expired auth token / user not signed in to OneDrive client</w:t>
            </w:r>
          </w:p>
        </w:tc>
        <w:tc>
          <w:tcPr/>
          <w:p>
            <w:pPr>
              <w:pStyle w:val="Compact"/>
            </w:pPr>
            <w:r>
              <w:t xml:space="preserve">Identity</w:t>
            </w:r>
          </w:p>
        </w:tc>
        <w:tc>
          <w:tcPr/>
          <w:p>
            <w:pPr>
              <w:pStyle w:val="Compact"/>
            </w:pPr>
            <w:r>
              <w:rPr>
                <w:b/>
                <w:bCs/>
              </w:rPr>
              <w:t xml:space="preserve">Yes</w:t>
            </w:r>
            <w:r>
              <w:t xml:space="preserve"> </w:t>
            </w:r>
            <w:r>
              <w:t xml:space="preserve">— client-side</w:t>
            </w:r>
          </w:p>
        </w:tc>
        <w:tc>
          <w:tcPr/>
          <w:p>
            <w:pPr>
              <w:pStyle w:val="Compact"/>
            </w:pPr>
            <w:r>
              <w:t xml:space="preserve">Instruct user to sign out and back in. Most common cause.</w:t>
            </w:r>
          </w:p>
        </w:tc>
      </w:tr>
      <w:tr>
        <w:tc>
          <w:tcPr/>
          <w:p>
            <w:pPr>
              <w:pStyle w:val="Compact"/>
            </w:pPr>
            <w:r>
              <w:t xml:space="preserve">Account not licensed for OneDrive / SharePoint</w:t>
            </w:r>
          </w:p>
        </w:tc>
        <w:tc>
          <w:tcPr/>
          <w:p>
            <w:pPr>
              <w:pStyle w:val="Compact"/>
            </w:pPr>
            <w:r>
              <w:t xml:space="preserve">License</w:t>
            </w:r>
          </w:p>
        </w:tc>
        <w:tc>
          <w:tcPr/>
          <w:p>
            <w:pPr>
              <w:pStyle w:val="Compact"/>
            </w:pPr>
            <w:r>
              <w:rPr>
                <w:b/>
                <w:bCs/>
              </w:rPr>
              <w:t xml:space="preserve">Yes</w:t>
            </w:r>
            <w:r>
              <w:t xml:space="preserve"> </w:t>
            </w:r>
            <w:r>
              <w:t xml:space="preserve">— with User Admin role and Departmental Owner approval</w:t>
            </w:r>
          </w:p>
        </w:tc>
        <w:tc>
          <w:tcPr/>
          <w:p>
            <w:pPr>
              <w:pStyle w:val="Compact"/>
            </w:pPr>
            <w:r>
              <w:t xml:space="preserve">Requires SAM-originated RITM with approval before license assignment.</w:t>
            </w:r>
          </w:p>
        </w:tc>
      </w:tr>
      <w:tr>
        <w:tc>
          <w:tcPr/>
          <w:p>
            <w:pPr>
              <w:pStyle w:val="Compact"/>
            </w:pPr>
            <w:r>
              <w:t xml:space="preserve">Conditional Access policy blocking device or session</w:t>
            </w:r>
          </w:p>
        </w:tc>
        <w:tc>
          <w:tcPr/>
          <w:p>
            <w:pPr>
              <w:pStyle w:val="Compact"/>
            </w:pPr>
            <w:r>
              <w:t xml:space="preserve">Conditional Access</w:t>
            </w:r>
          </w:p>
        </w:tc>
        <w:tc>
          <w:tcPr/>
          <w:p>
            <w:pPr>
              <w:pStyle w:val="Compact"/>
            </w:pPr>
            <w:r>
              <w:rPr>
                <w:b/>
                <w:bCs/>
              </w:rPr>
              <w:t xml:space="preserve">No — Escalate</w:t>
            </w:r>
          </w:p>
        </w:tc>
        <w:tc>
          <w:tcPr/>
          <w:p>
            <w:pPr>
              <w:pStyle w:val="Compact"/>
            </w:pPr>
            <w:r>
              <w:t xml:space="preserve">Help Desk identifies CA as the cause. Escalates to Security Admin. Help Desk cannot modify CA policy.</w:t>
            </w:r>
          </w:p>
        </w:tc>
      </w:tr>
      <w:tr>
        <w:tc>
          <w:tcPr/>
          <w:p>
            <w:pPr>
              <w:pStyle w:val="Compact"/>
            </w:pPr>
            <w:r>
              <w:t xml:space="preserve">Device not Entra-joined or not registered</w:t>
            </w:r>
          </w:p>
        </w:tc>
        <w:tc>
          <w:tcPr/>
          <w:p>
            <w:pPr>
              <w:pStyle w:val="Compact"/>
            </w:pPr>
            <w:r>
              <w:t xml:space="preserve">Device Compliance</w:t>
            </w:r>
          </w:p>
        </w:tc>
        <w:tc>
          <w:tcPr/>
          <w:p>
            <w:pPr>
              <w:pStyle w:val="Compact"/>
            </w:pPr>
            <w:r>
              <w:rPr>
                <w:b/>
                <w:bCs/>
              </w:rPr>
              <w:t xml:space="preserve">Partial</w:t>
            </w:r>
            <w:r>
              <w:t xml:space="preserve"> </w:t>
            </w:r>
            <w:r>
              <w:t xml:space="preserve">— Help Desk checks; may escalate</w:t>
            </w:r>
          </w:p>
        </w:tc>
        <w:tc>
          <w:tcPr/>
          <w:p>
            <w:pPr>
              <w:pStyle w:val="Compact"/>
            </w:pPr>
            <w:r>
              <w:t xml:space="preserve">Help Desk can verify device join status and guide user through device re-registration where policy permits. Compliance remediation may escalate.</w:t>
            </w:r>
          </w:p>
        </w:tc>
      </w:tr>
      <w:tr>
        <w:tc>
          <w:tcPr/>
          <w:p>
            <w:pPr>
              <w:pStyle w:val="Compact"/>
            </w:pPr>
            <w:r>
              <w:t xml:space="preserve">Known Folder Move (KFM) conflict</w:t>
            </w:r>
          </w:p>
        </w:tc>
        <w:tc>
          <w:tcPr/>
          <w:p>
            <w:pPr>
              <w:pStyle w:val="Compact"/>
            </w:pPr>
            <w:r>
              <w:t xml:space="preserve">Client-side</w:t>
            </w:r>
          </w:p>
        </w:tc>
        <w:tc>
          <w:tcPr/>
          <w:p>
            <w:pPr>
              <w:pStyle w:val="Compact"/>
            </w:pPr>
            <w:r>
              <w:rPr>
                <w:b/>
                <w:bCs/>
              </w:rPr>
              <w:t xml:space="preserve">Yes</w:t>
            </w:r>
          </w:p>
        </w:tc>
        <w:tc>
          <w:tcPr/>
          <w:p>
            <w:pPr>
              <w:pStyle w:val="Compact"/>
            </w:pPr>
            <w:r>
              <w:t xml:space="preserve">Disable KFM, re-enable, or reset KFM policy in local OneDrive settings.</w:t>
            </w:r>
          </w:p>
        </w:tc>
      </w:tr>
      <w:tr>
        <w:tc>
          <w:tcPr/>
          <w:p>
            <w:pPr>
              <w:pStyle w:val="Compact"/>
            </w:pPr>
            <w:r>
              <w:t xml:space="preserve">File path too long (&gt;260 characters)</w:t>
            </w:r>
          </w:p>
        </w:tc>
        <w:tc>
          <w:tcPr/>
          <w:p>
            <w:pPr>
              <w:pStyle w:val="Compact"/>
            </w:pPr>
            <w:r>
              <w:t xml:space="preserve">Client-side</w:t>
            </w:r>
          </w:p>
        </w:tc>
        <w:tc>
          <w:tcPr/>
          <w:p>
            <w:pPr>
              <w:pStyle w:val="Compact"/>
            </w:pPr>
            <w:r>
              <w:rPr>
                <w:b/>
                <w:bCs/>
              </w:rPr>
              <w:t xml:space="preserve">Yes</w:t>
            </w:r>
          </w:p>
        </w:tc>
        <w:tc>
          <w:tcPr/>
          <w:p>
            <w:pPr>
              <w:pStyle w:val="Compact"/>
            </w:pPr>
            <w:r>
              <w:t xml:space="preserve">Instruct user to shorten file or folder names. Error code 0x8007005A.</w:t>
            </w:r>
          </w:p>
        </w:tc>
      </w:tr>
      <w:tr>
        <w:tc>
          <w:tcPr/>
          <w:p>
            <w:pPr>
              <w:pStyle w:val="Compact"/>
            </w:pPr>
            <w:r>
              <w:t xml:space="preserve">Corrupted OneDrive sync cache</w:t>
            </w:r>
          </w:p>
        </w:tc>
        <w:tc>
          <w:tcPr/>
          <w:p>
            <w:pPr>
              <w:pStyle w:val="Compact"/>
            </w:pPr>
            <w:r>
              <w:t xml:space="preserve">Client-side</w:t>
            </w:r>
          </w:p>
        </w:tc>
        <w:tc>
          <w:tcPr/>
          <w:p>
            <w:pPr>
              <w:pStyle w:val="Compact"/>
            </w:pPr>
            <w:r>
              <w:rPr>
                <w:b/>
                <w:bCs/>
              </w:rPr>
              <w:t xml:space="preserve">Yes</w:t>
            </w:r>
          </w:p>
        </w:tc>
        <w:tc>
          <w:tcPr/>
          <w:p>
            <w:pPr>
              <w:pStyle w:val="Compact"/>
            </w:pPr>
            <w:r>
              <w:t xml:space="preserve">Reset cache: %localappdata%</w:t>
            </w:r>
            <w:r>
              <w:t xml:space="preserve">.exe /reset</w:t>
            </w:r>
          </w:p>
        </w:tc>
      </w:tr>
      <w:tr>
        <w:tc>
          <w:tcPr/>
          <w:p>
            <w:pPr>
              <w:pStyle w:val="Compact"/>
            </w:pPr>
            <w:r>
              <w:t xml:space="preserve">SharePoint site quota exceeded</w:t>
            </w:r>
          </w:p>
        </w:tc>
        <w:tc>
          <w:tcPr/>
          <w:p>
            <w:pPr>
              <w:pStyle w:val="Compact"/>
            </w:pPr>
            <w:r>
              <w:t xml:space="preserve">Storage</w:t>
            </w:r>
          </w:p>
        </w:tc>
        <w:tc>
          <w:tcPr/>
          <w:p>
            <w:pPr>
              <w:pStyle w:val="Compact"/>
            </w:pPr>
            <w:r>
              <w:rPr>
                <w:b/>
                <w:bCs/>
              </w:rPr>
              <w:t xml:space="preserve">Yes</w:t>
            </w:r>
            <w:r>
              <w:t xml:space="preserve"> </w:t>
            </w:r>
            <w:r>
              <w:t xml:space="preserve">— notify site owner; may require SharePoint Admin for quota increase</w:t>
            </w:r>
          </w:p>
        </w:tc>
        <w:tc>
          <w:tcPr/>
          <w:p>
            <w:pPr>
              <w:pStyle w:val="Compact"/>
            </w:pPr>
            <w:r>
              <w:t xml:space="preserve">Help Desk identifies the site quota status in SharePoint Admin Center. Quota increase requires SharePoint Admin.</w:t>
            </w:r>
          </w:p>
        </w:tc>
      </w:tr>
      <w:tr>
        <w:tc>
          <w:tcPr/>
          <w:p>
            <w:pPr>
              <w:pStyle w:val="Compact"/>
            </w:pPr>
            <w:r>
              <w:t xml:space="preserve">UPN changed without re-sign-in to OneDrive client</w:t>
            </w:r>
          </w:p>
        </w:tc>
        <w:tc>
          <w:tcPr/>
          <w:p>
            <w:pPr>
              <w:pStyle w:val="Compact"/>
            </w:pPr>
            <w:r>
              <w:t xml:space="preserve">Identity</w:t>
            </w:r>
          </w:p>
        </w:tc>
        <w:tc>
          <w:tcPr/>
          <w:p>
            <w:pPr>
              <w:pStyle w:val="Compact"/>
            </w:pPr>
            <w:r>
              <w:rPr>
                <w:b/>
                <w:bCs/>
              </w:rPr>
              <w:t xml:space="preserve">Yes</w:t>
            </w:r>
          </w:p>
        </w:tc>
        <w:tc>
          <w:tcPr/>
          <w:p>
            <w:pPr>
              <w:pStyle w:val="Compact"/>
            </w:pPr>
            <w:r>
              <w:t xml:space="preserve">Expected behavior after UPN change. User must sign out and sign back in to OneDrive client. No Entra action needed.</w:t>
            </w:r>
          </w:p>
        </w:tc>
      </w:tr>
      <w:tr>
        <w:tc>
          <w:tcPr/>
          <w:p>
            <w:pPr>
              <w:pStyle w:val="Compact"/>
            </w:pPr>
            <w:r>
              <w:t xml:space="preserve">ImmutableID mismatch / duplicate cloud account</w:t>
            </w:r>
          </w:p>
        </w:tc>
        <w:tc>
          <w:tcPr/>
          <w:p>
            <w:pPr>
              <w:pStyle w:val="Compact"/>
            </w:pPr>
            <w:r>
              <w:t xml:space="preserve">Hybrid Identity</w:t>
            </w:r>
          </w:p>
        </w:tc>
        <w:tc>
          <w:tcPr/>
          <w:p>
            <w:pPr>
              <w:pStyle w:val="Compact"/>
            </w:pPr>
            <w:r>
              <w:rPr>
                <w:b/>
                <w:bCs/>
              </w:rPr>
              <w:t xml:space="preserve">Yes</w:t>
            </w:r>
            <w:r>
              <w:t xml:space="preserve"> </w:t>
            </w:r>
            <w:r>
              <w:t xml:space="preserve">— with Hybrid Identity Administrator and full approval</w:t>
            </w:r>
          </w:p>
        </w:tc>
        <w:tc>
          <w:tcPr/>
          <w:p>
            <w:pPr>
              <w:pStyle w:val="Compact"/>
            </w:pPr>
            <w:r>
              <w:t xml:space="preserve">Follow the full procedure in the Hybrid identity operations section. Requires Identity Engineering Lead + IGO approval.</w:t>
            </w:r>
          </w:p>
        </w:tc>
      </w:tr>
      <w:tr>
        <w:tc>
          <w:tcPr/>
          <w:p>
            <w:pPr>
              <w:pStyle w:val="Compact"/>
            </w:pPr>
            <w:r>
              <w:t xml:space="preserve">OneDrive provisioning not completed after licensing</w:t>
            </w:r>
          </w:p>
        </w:tc>
        <w:tc>
          <w:tcPr/>
          <w:p>
            <w:pPr>
              <w:pStyle w:val="Compact"/>
            </w:pPr>
            <w:r>
              <w:t xml:space="preserve">Provisioning</w:t>
            </w:r>
          </w:p>
        </w:tc>
        <w:tc>
          <w:tcPr/>
          <w:p>
            <w:pPr>
              <w:pStyle w:val="Compact"/>
            </w:pPr>
            <w:r>
              <w:rPr>
                <w:b/>
                <w:bCs/>
              </w:rPr>
              <w:t xml:space="preserve">Yes</w:t>
            </w:r>
            <w:r>
              <w:t xml:space="preserve"> </w:t>
            </w:r>
            <w:r>
              <w:t xml:space="preserve">— trigger via M365 Admin Center</w:t>
            </w:r>
          </w:p>
        </w:tc>
        <w:tc>
          <w:tcPr/>
          <w:p>
            <w:pPr>
              <w:pStyle w:val="Compact"/>
            </w:pPr>
            <w:r>
              <w:t xml:space="preserve">Navigate to M365 Admin Center → Users → [User] → OneDrive tab → Trigger provisioning.</w:t>
            </w:r>
          </w:p>
        </w:tc>
      </w:tr>
      <w:tr>
        <w:tc>
          <w:tcPr/>
          <w:p>
            <w:pPr>
              <w:pStyle w:val="Compact"/>
            </w:pPr>
            <w:r>
              <w:t xml:space="preserve">MFA prompt loop / modern authentication failure</w:t>
            </w:r>
          </w:p>
        </w:tc>
        <w:tc>
          <w:tcPr/>
          <w:p>
            <w:pPr>
              <w:pStyle w:val="Compact"/>
            </w:pPr>
            <w:r>
              <w:t xml:space="preserve">Identity</w:t>
            </w:r>
          </w:p>
        </w:tc>
        <w:tc>
          <w:tcPr/>
          <w:p>
            <w:pPr>
              <w:pStyle w:val="Compact"/>
            </w:pPr>
            <w:r>
              <w:rPr>
                <w:b/>
                <w:bCs/>
              </w:rPr>
              <w:t xml:space="preserve">Yes</w:t>
            </w:r>
            <w:r>
              <w:t xml:space="preserve"> </w:t>
            </w:r>
            <w:r>
              <w:t xml:space="preserve">— with Authentication Administrator role if method reset needed</w:t>
            </w:r>
          </w:p>
        </w:tc>
        <w:tc>
          <w:tcPr/>
          <w:p>
            <w:pPr>
              <w:pStyle w:val="Compact"/>
            </w:pPr>
            <w:r>
              <w:t xml:space="preserve">First attempt sign-out/sign-in. If auth method is broken, reset via Entra Auth Methods with PIM elevation.</w:t>
            </w:r>
          </w:p>
        </w:tc>
      </w:tr>
      <w:tr>
        <w:tc>
          <w:tcPr/>
          <w:p>
            <w:pPr>
              <w:pStyle w:val="Compact"/>
            </w:pPr>
            <w:r>
              <w:t xml:space="preserve">Blocked file types (SharePoint policy)</w:t>
            </w:r>
          </w:p>
        </w:tc>
        <w:tc>
          <w:tcPr/>
          <w:p>
            <w:pPr>
              <w:pStyle w:val="Compact"/>
            </w:pPr>
            <w:r>
              <w:t xml:space="preserve">Policy</w:t>
            </w:r>
          </w:p>
        </w:tc>
        <w:tc>
          <w:tcPr/>
          <w:p>
            <w:pPr>
              <w:pStyle w:val="Compact"/>
            </w:pPr>
            <w:r>
              <w:rPr>
                <w:b/>
                <w:bCs/>
              </w:rPr>
              <w:t xml:space="preserve">Partial</w:t>
            </w:r>
            <w:r>
              <w:t xml:space="preserve"> </w:t>
            </w:r>
            <w:r>
              <w:t xml:space="preserve">— Help Desk identifies; policy change escalates to SharePoint Admin</w:t>
            </w:r>
          </w:p>
        </w:tc>
        <w:tc>
          <w:tcPr/>
          <w:p>
            <w:pPr>
              <w:pStyle w:val="Compact"/>
            </w:pPr>
            <w:r>
              <w:t xml:space="preserve">Check SharePoint Admin Center → Settings → Blocked file types. Help Desk cannot modify the blocked list.</w:t>
            </w:r>
          </w:p>
        </w:tc>
      </w:tr>
    </w:tbl>
    <w:bookmarkEnd w:id="75"/>
    <w:bookmarkStart w:id="76" w:name="step-by-step-triage-workflow"/>
    <w:p>
      <w:pPr>
        <w:pStyle w:val="Heading3"/>
      </w:pPr>
      <w:r>
        <w:t xml:space="preserve">Step-by-step triage workflow</w:t>
      </w:r>
    </w:p>
    <w:p>
      <w:pPr>
        <w:pStyle w:val="Compact"/>
        <w:numPr>
          <w:ilvl w:val="0"/>
          <w:numId w:val="1020"/>
        </w:numPr>
      </w:pPr>
      <w:r>
        <w:rPr>
          <w:b/>
          <w:bCs/>
        </w:rPr>
        <w:t xml:space="preserve">Gather information from user.</w:t>
      </w:r>
      <w:r>
        <w:t xml:space="preserve"> </w:t>
      </w:r>
      <w:r>
        <w:t xml:space="preserve">Collect: When did sync stop? What changed</w:t>
      </w:r>
      <w:r>
        <w:t xml:space="preserve"> </w:t>
      </w:r>
      <w:r>
        <w:t xml:space="preserve">recently (password reset, new device, UPN change, relocation to new site)? What</w:t>
      </w:r>
      <w:r>
        <w:t xml:space="preserve"> </w:t>
      </w:r>
      <w:r>
        <w:t xml:space="preserve">is the exact error message or error code displayed? Is the issue on a specific</w:t>
      </w:r>
      <w:r>
        <w:t xml:space="preserve"> </w:t>
      </w:r>
      <w:r>
        <w:t xml:space="preserve">device or all devices? Is it affecting one OneDrive account or also SharePoint</w:t>
      </w:r>
      <w:r>
        <w:t xml:space="preserve"> </w:t>
      </w:r>
      <w:r>
        <w:t xml:space="preserve">sites? Is the user fully or partially licensed?</w:t>
      </w:r>
    </w:p>
    <w:p>
      <w:pPr>
        <w:pStyle w:val="Compact"/>
        <w:numPr>
          <w:ilvl w:val="0"/>
          <w:numId w:val="1020"/>
        </w:numPr>
      </w:pPr>
      <w:r>
        <w:rPr>
          <w:b/>
          <w:bCs/>
        </w:rPr>
        <w:t xml:space="preserve">Check Entra ID account status.</w:t>
      </w:r>
      <w:r>
        <w:t xml:space="preserve"> </w:t>
      </w:r>
      <w:r>
        <w:t xml:space="preserve">In Entra Portal, navigate to Users → [User].</w:t>
      </w:r>
      <w:r>
        <w:t xml:space="preserve"> </w:t>
      </w:r>
      <w:r>
        <w:t xml:space="preserve">Confirm: Account is Enabled (not blocked). UPN is correct and matches what the</w:t>
      </w:r>
      <w:r>
        <w:t xml:space="preserve"> </w:t>
      </w:r>
      <w:r>
        <w:t xml:space="preserve">user is signing in with. License is assigned and includes SharePoint/OneDrive.</w:t>
      </w:r>
      <w:r>
        <w:t xml:space="preserve"> </w:t>
      </w:r>
      <w:r>
        <w:t xml:space="preserve">“On-premises sync enabled”</w:t>
      </w:r>
      <w:r>
        <w:t xml:space="preserve"> </w:t>
      </w:r>
      <w:r>
        <w:t xml:space="preserve">status is correct for the user type.</w:t>
      </w:r>
    </w:p>
    <w:p>
      <w:pPr>
        <w:pStyle w:val="Compact"/>
        <w:numPr>
          <w:ilvl w:val="0"/>
          <w:numId w:val="1020"/>
        </w:numPr>
      </w:pPr>
      <w:r>
        <w:rPr>
          <w:b/>
          <w:bCs/>
        </w:rPr>
        <w:t xml:space="preserve">Check for Conditional Access blocks in sign-in logs (PIM elevation</w:t>
      </w:r>
      <w:r>
        <w:rPr>
          <w:b/>
          <w:bCs/>
        </w:rPr>
        <w:t xml:space="preserve"> </w:t>
      </w:r>
      <w:r>
        <w:rPr>
          <w:b/>
          <w:bCs/>
        </w:rPr>
        <w:t xml:space="preserve">required).</w:t>
      </w:r>
      <w:r>
        <w:t xml:space="preserve"> </w:t>
      </w:r>
      <w:r>
        <w:t xml:space="preserve">Activate Application Administrator via PIM if not already active.</w:t>
      </w:r>
      <w:r>
        <w:t xml:space="preserve"> </w:t>
      </w:r>
      <w:r>
        <w:t xml:space="preserve">Navigate to Entra Portal → Monitoring → Sign-in Logs. Filter by the user’s UPN</w:t>
      </w:r>
      <w:r>
        <w:t xml:space="preserve"> </w:t>
      </w:r>
      <w:r>
        <w:t xml:space="preserve">and the OneDrive or SharePoint application. Look for sign-in events with Status</w:t>
      </w:r>
      <w:r>
        <w:t xml:space="preserve"> </w:t>
      </w:r>
      <w:r>
        <w:t xml:space="preserve">“Failure”</w:t>
      </w:r>
      <w:r>
        <w:t xml:space="preserve"> </w:t>
      </w:r>
      <w:r>
        <w:t xml:space="preserve">and check the Conditional Access tab within the event. If a CA policy</w:t>
      </w:r>
      <w:r>
        <w:t xml:space="preserve"> </w:t>
      </w:r>
      <w:r>
        <w:t xml:space="preserve">shows</w:t>
      </w:r>
      <w:r>
        <w:t xml:space="preserve"> </w:t>
      </w:r>
      <w:r>
        <w:t xml:space="preserve">“Failed,”</w:t>
      </w:r>
      <w:r>
        <w:t xml:space="preserve"> </w:t>
      </w:r>
      <w:r>
        <w:t xml:space="preserve">that CA policy is the root cause — document and escalate. Do not</w:t>
      </w:r>
      <w:r>
        <w:t xml:space="preserve"> </w:t>
      </w:r>
      <w:r>
        <w:t xml:space="preserve">modify CA policy.</w:t>
      </w:r>
    </w:p>
    <w:p>
      <w:pPr>
        <w:pStyle w:val="Compact"/>
        <w:numPr>
          <w:ilvl w:val="0"/>
          <w:numId w:val="1020"/>
        </w:numPr>
      </w:pPr>
      <w:r>
        <w:rPr>
          <w:b/>
          <w:bCs/>
        </w:rPr>
        <w:t xml:space="preserve">Check device compliance status.</w:t>
      </w:r>
      <w:r>
        <w:t xml:space="preserve"> </w:t>
      </w:r>
      <w:r>
        <w:t xml:space="preserve">In Entra Portal → Devices, search for the</w:t>
      </w:r>
      <w:r>
        <w:t xml:space="preserve"> </w:t>
      </w:r>
      <w:r>
        <w:t xml:space="preserve">user’s device by name or device ID. Confirm: Device is Entra Joined or</w:t>
      </w:r>
      <w:r>
        <w:t xml:space="preserve"> </w:t>
      </w:r>
      <w:r>
        <w:t xml:space="preserve">Registered. Compliance state is</w:t>
      </w:r>
      <w:r>
        <w:t xml:space="preserve"> </w:t>
      </w:r>
      <w:r>
        <w:t xml:space="preserve">“Compliant.”</w:t>
      </w:r>
      <w:r>
        <w:t xml:space="preserve"> </w:t>
      </w:r>
      <w:r>
        <w:t xml:space="preserve">MDM enrollment is present. If the</w:t>
      </w:r>
      <w:r>
        <w:t xml:space="preserve"> </w:t>
      </w:r>
      <w:r>
        <w:t xml:space="preserve">device is non-compliant or not registered, guide the user through re-enrollment</w:t>
      </w:r>
      <w:r>
        <w:t xml:space="preserve"> </w:t>
      </w:r>
      <w:r>
        <w:t xml:space="preserve">where policy permits, or escalate to device management team.</w:t>
      </w:r>
    </w:p>
    <w:p>
      <w:pPr>
        <w:pStyle w:val="Compact"/>
        <w:numPr>
          <w:ilvl w:val="0"/>
          <w:numId w:val="1020"/>
        </w:numPr>
      </w:pPr>
      <w:r>
        <w:rPr>
          <w:b/>
          <w:bCs/>
        </w:rPr>
        <w:t xml:space="preserve">Check OneDrive provisioning status.</w:t>
      </w:r>
      <w:r>
        <w:t xml:space="preserve"> </w:t>
      </w:r>
      <w:r>
        <w:t xml:space="preserve">Navigate to M365 Admin Center → Users →</w:t>
      </w:r>
      <w:r>
        <w:t xml:space="preserve"> </w:t>
      </w:r>
      <w:r>
        <w:t xml:space="preserve">Active Users → [User] → OneDrive tab. Confirm OneDrive provisioning has</w:t>
      </w:r>
      <w:r>
        <w:t xml:space="preserve"> </w:t>
      </w:r>
      <w:r>
        <w:t xml:space="preserve">completed. If provisioning is not initiated, click</w:t>
      </w:r>
      <w:r>
        <w:t xml:space="preserve"> </w:t>
      </w:r>
      <w:r>
        <w:t xml:space="preserve">“Create OneDrive”</w:t>
      </w:r>
      <w:r>
        <w:t xml:space="preserve"> </w:t>
      </w:r>
      <w:r>
        <w:t xml:space="preserve">or</w:t>
      </w:r>
      <w:r>
        <w:t xml:space="preserve"> </w:t>
      </w:r>
      <w:r>
        <w:t xml:space="preserve">“Trigger</w:t>
      </w:r>
      <w:r>
        <w:t xml:space="preserve"> </w:t>
      </w:r>
      <w:r>
        <w:t xml:space="preserve">provisioning.”</w:t>
      </w:r>
      <w:r>
        <w:t xml:space="preserve"> </w:t>
      </w:r>
      <w:r>
        <w:t xml:space="preserve">This action requires a SAM-originated RITM with Departmental</w:t>
      </w:r>
      <w:r>
        <w:t xml:space="preserve"> </w:t>
      </w:r>
      <w:r>
        <w:t xml:space="preserve">Owner approval in the ServiceNow ticket before proceeding.</w:t>
      </w:r>
    </w:p>
    <w:p>
      <w:pPr>
        <w:pStyle w:val="Compact"/>
        <w:numPr>
          <w:ilvl w:val="0"/>
          <w:numId w:val="1020"/>
        </w:numPr>
      </w:pPr>
      <w:r>
        <w:rPr>
          <w:b/>
          <w:bCs/>
        </w:rPr>
        <w:t xml:space="preserve">Check for ImmutableID / hybrid identity issues.</w:t>
      </w:r>
      <w:r>
        <w:t xml:space="preserve"> </w:t>
      </w:r>
      <w:r>
        <w:t xml:space="preserve">If the user is a</w:t>
      </w:r>
      <w:r>
        <w:t xml:space="preserve"> </w:t>
      </w:r>
      <w:r>
        <w:t xml:space="preserve">hybrid-synced account and Steps 2–5 did not identify the cause, check Entra</w:t>
      </w:r>
      <w:r>
        <w:t xml:space="preserve"> </w:t>
      </w:r>
      <w:r>
        <w:t xml:space="preserve">Connect Health for the user’s sync object status. If an ImmutableID mismatch or</w:t>
      </w:r>
      <w:r>
        <w:t xml:space="preserve"> </w:t>
      </w:r>
      <w:r>
        <w:t xml:space="preserve">duplicate object is found, escalate to Identity Engineering. Follow the Hybrid</w:t>
      </w:r>
      <w:r>
        <w:t xml:space="preserve"> </w:t>
      </w:r>
      <w:r>
        <w:t xml:space="preserve">identity operations procedure if full approval is obtained.</w:t>
      </w:r>
    </w:p>
    <w:p>
      <w:pPr>
        <w:pStyle w:val="Compact"/>
        <w:numPr>
          <w:ilvl w:val="0"/>
          <w:numId w:val="1020"/>
        </w:numPr>
      </w:pPr>
      <w:r>
        <w:rPr>
          <w:b/>
          <w:bCs/>
        </w:rPr>
        <w:t xml:space="preserve">Client-side remediation.</w:t>
      </w:r>
      <w:r>
        <w:t xml:space="preserve"> </w:t>
      </w:r>
      <w:r>
        <w:t xml:space="preserve">If the root cause is client-side (expired token,</w:t>
      </w:r>
      <w:r>
        <w:t xml:space="preserve"> </w:t>
      </w:r>
      <w:r>
        <w:t xml:space="preserve">cache corruption, file path, KFM conflict): (a) Instruct user to sign out of</w:t>
      </w:r>
      <w:r>
        <w:t xml:space="preserve"> </w:t>
      </w:r>
      <w:r>
        <w:t xml:space="preserve">OneDrive client and sign back in with correct credentials. (b) If that fails,</w:t>
      </w:r>
      <w:r>
        <w:t xml:space="preserve"> </w:t>
      </w:r>
      <w:r>
        <w:t xml:space="preserve">run: %localappdata%</w:t>
      </w:r>
      <w:r>
        <w:t xml:space="preserve">.exe /reset from Windows Run</w:t>
      </w:r>
      <w:r>
        <w:t xml:space="preserve"> </w:t>
      </w:r>
      <w:r>
        <w:t xml:space="preserve">dialog. (c) If that fails, clear OneDrive cache: delete contents of</w:t>
      </w:r>
      <w:r>
        <w:t xml:space="preserve"> </w:t>
      </w:r>
      <w:r>
        <w:t xml:space="preserve">%localappdata%</w:t>
      </w:r>
      <w:r>
        <w:t xml:space="preserve">. (d) If sync still fails, uninstall</w:t>
      </w:r>
      <w:r>
        <w:t xml:space="preserve"> </w:t>
      </w:r>
      <w:r>
        <w:t xml:space="preserve">and reinstall the OneDrive client. (e) Re-open OneDrive and sign in.</w:t>
      </w:r>
    </w:p>
    <w:p>
      <w:pPr>
        <w:pStyle w:val="Compact"/>
        <w:numPr>
          <w:ilvl w:val="0"/>
          <w:numId w:val="1020"/>
        </w:numPr>
      </w:pPr>
      <w:r>
        <w:rPr>
          <w:b/>
          <w:bCs/>
        </w:rPr>
        <w:t xml:space="preserve">Document and resolve in ServiceNow.</w:t>
      </w:r>
      <w:r>
        <w:t xml:space="preserve"> </w:t>
      </w:r>
      <w:r>
        <w:t xml:space="preserve">Enter full triage findings, each step</w:t>
      </w:r>
      <w:r>
        <w:t xml:space="preserve"> </w:t>
      </w:r>
      <w:r>
        <w:t xml:space="preserve">performed, results, and final resolution method in the ServiceNow ticket work</w:t>
      </w:r>
      <w:r>
        <w:t xml:space="preserve"> </w:t>
      </w:r>
      <w:r>
        <w:t xml:space="preserve">notes. If the issue was fully resolved, set to</w:t>
      </w:r>
      <w:r>
        <w:t xml:space="preserve"> </w:t>
      </w:r>
      <w:r>
        <w:t xml:space="preserve">“Resolved.”</w:t>
      </w:r>
      <w:r>
        <w:t xml:space="preserve"> </w:t>
      </w:r>
      <w:r>
        <w:t xml:space="preserve">If escalated, set to</w:t>
      </w:r>
      <w:r>
        <w:t xml:space="preserve"> </w:t>
      </w:r>
      <w:r>
        <w:t xml:space="preserve">“Pending”</w:t>
      </w:r>
      <w:r>
        <w:t xml:space="preserve"> </w:t>
      </w:r>
      <w:r>
        <w:t xml:space="preserve">with escalation details. Deactivate any active PIM sessions.</w:t>
      </w:r>
    </w:p>
    <w:bookmarkEnd w:id="76"/>
    <w:bookmarkStart w:id="77" w:name="X82ac3bac72c1872c5edb17c6366e2af313d5803"/>
    <w:p>
      <w:pPr>
        <w:pStyle w:val="Heading3"/>
      </w:pPr>
      <w:r>
        <w:t xml:space="preserve">Entra-specific resolution actions (PIM required)</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Action</w:t>
            </w:r>
          </w:p>
        </w:tc>
        <w:tc>
          <w:tcPr/>
          <w:p>
            <w:pPr>
              <w:pStyle w:val="Compact"/>
            </w:pPr>
            <w:r>
              <w:rPr>
                <w:b/>
                <w:bCs/>
              </w:rPr>
              <w:t xml:space="preserve">Required role</w:t>
            </w:r>
          </w:p>
        </w:tc>
        <w:tc>
          <w:tcPr/>
          <w:p>
            <w:pPr>
              <w:pStyle w:val="Compact"/>
            </w:pPr>
            <w:r>
              <w:rPr>
                <w:b/>
                <w:bCs/>
              </w:rPr>
              <w:t xml:space="preserve">PIM required</w:t>
            </w:r>
          </w:p>
        </w:tc>
        <w:tc>
          <w:tcPr/>
          <w:p>
            <w:pPr>
              <w:pStyle w:val="Compact"/>
            </w:pPr>
            <w:r>
              <w:rPr>
                <w:b/>
                <w:bCs/>
              </w:rPr>
              <w:t xml:space="preserve">Steps</w:t>
            </w:r>
          </w:p>
        </w:tc>
      </w:tr>
      <w:tr>
        <w:tc>
          <w:tcPr/>
          <w:p>
            <w:pPr>
              <w:pStyle w:val="Compact"/>
            </w:pPr>
            <w:r>
              <w:t xml:space="preserve">Check sign-in logs for OneDrive app</w:t>
            </w:r>
          </w:p>
        </w:tc>
        <w:tc>
          <w:tcPr/>
          <w:p>
            <w:pPr>
              <w:pStyle w:val="Compact"/>
            </w:pPr>
            <w:r>
              <w:t xml:space="preserve">Application Administrator</w:t>
            </w:r>
          </w:p>
        </w:tc>
        <w:tc>
          <w:tcPr/>
          <w:p>
            <w:pPr>
              <w:pStyle w:val="Compact"/>
            </w:pPr>
            <w:r>
              <w:t xml:space="preserve">Yes</w:t>
            </w:r>
          </w:p>
        </w:tc>
        <w:tc>
          <w:tcPr/>
          <w:p>
            <w:pPr>
              <w:pStyle w:val="Compact"/>
            </w:pPr>
            <w:r>
              <w:t xml:space="preserve">Entra Portal → Monitoring → Sign-in Logs → filter by user and OneDrive app</w:t>
            </w:r>
          </w:p>
        </w:tc>
      </w:tr>
      <w:tr>
        <w:tc>
          <w:tcPr/>
          <w:p>
            <w:pPr>
              <w:pStyle w:val="Compact"/>
            </w:pPr>
            <w:r>
              <w:t xml:space="preserve">Confirm or assign OneDrive license</w:t>
            </w:r>
          </w:p>
        </w:tc>
        <w:tc>
          <w:tcPr/>
          <w:p>
            <w:pPr>
              <w:pStyle w:val="Compact"/>
            </w:pPr>
            <w:r>
              <w:t xml:space="preserve">User Administrator</w:t>
            </w:r>
          </w:p>
        </w:tc>
        <w:tc>
          <w:tcPr/>
          <w:p>
            <w:pPr>
              <w:pStyle w:val="Compact"/>
            </w:pPr>
            <w:r>
              <w:t xml:space="preserve">Yes</w:t>
            </w:r>
          </w:p>
        </w:tc>
        <w:tc>
          <w:tcPr/>
          <w:p>
            <w:pPr>
              <w:pStyle w:val="Compact"/>
            </w:pPr>
            <w:r>
              <w:t xml:space="preserve">Entra Portal → Users → [User] → Licenses → Assign; requires RITM + Departmental Owner approval</w:t>
            </w:r>
          </w:p>
        </w:tc>
      </w:tr>
      <w:tr>
        <w:tc>
          <w:tcPr/>
          <w:p>
            <w:pPr>
              <w:pStyle w:val="Compact"/>
            </w:pPr>
            <w:r>
              <w:t xml:space="preserve">Trigger OneDrive provisioning</w:t>
            </w:r>
          </w:p>
        </w:tc>
        <w:tc>
          <w:tcPr/>
          <w:p>
            <w:pPr>
              <w:pStyle w:val="Compact"/>
            </w:pPr>
            <w:r>
              <w:t xml:space="preserve">M365 Global Reader or Admin</w:t>
            </w:r>
          </w:p>
        </w:tc>
        <w:tc>
          <w:tcPr/>
          <w:p>
            <w:pPr>
              <w:pStyle w:val="Compact"/>
            </w:pPr>
            <w:r>
              <w:t xml:space="preserve">No (M365 Admin Center action)</w:t>
            </w:r>
          </w:p>
        </w:tc>
        <w:tc>
          <w:tcPr/>
          <w:p>
            <w:pPr>
              <w:pStyle w:val="Compact"/>
            </w:pPr>
            <w:r>
              <w:t xml:space="preserve">M365 Admin Center → Users → [User] → OneDrive tab → Create OneDrive; requires RITM + Departmental Owner approval</w:t>
            </w:r>
          </w:p>
        </w:tc>
      </w:tr>
      <w:tr>
        <w:tc>
          <w:tcPr/>
          <w:p>
            <w:pPr>
              <w:pStyle w:val="Compact"/>
            </w:pPr>
            <w:r>
              <w:t xml:space="preserve">Reset MFA blocking authentication</w:t>
            </w:r>
          </w:p>
        </w:tc>
        <w:tc>
          <w:tcPr/>
          <w:p>
            <w:pPr>
              <w:pStyle w:val="Compact"/>
            </w:pPr>
            <w:r>
              <w:t xml:space="preserve">Authentication Administrator</w:t>
            </w:r>
          </w:p>
        </w:tc>
        <w:tc>
          <w:tcPr/>
          <w:p>
            <w:pPr>
              <w:pStyle w:val="Compact"/>
            </w:pPr>
            <w:r>
              <w:t xml:space="preserve">Yes</w:t>
            </w:r>
          </w:p>
        </w:tc>
        <w:tc>
          <w:tcPr/>
          <w:p>
            <w:pPr>
              <w:pStyle w:val="Compact"/>
            </w:pPr>
            <w:r>
              <w:t xml:space="preserve">Entra Portal → Users → [User] → Authentication Methods → Delete broken method; requires Help Desk Supervisor approval</w:t>
            </w:r>
          </w:p>
        </w:tc>
      </w:tr>
      <w:tr>
        <w:tc>
          <w:tcPr/>
          <w:p>
            <w:pPr>
              <w:pStyle w:val="Compact"/>
            </w:pPr>
            <w:r>
              <w:t xml:space="preserve">Check and repair ImmutableID</w:t>
            </w:r>
          </w:p>
        </w:tc>
        <w:tc>
          <w:tcPr/>
          <w:p>
            <w:pPr>
              <w:pStyle w:val="Compact"/>
            </w:pPr>
            <w:r>
              <w:t xml:space="preserve">Hybrid Identity Administrator</w:t>
            </w:r>
          </w:p>
        </w:tc>
        <w:tc>
          <w:tcPr/>
          <w:p>
            <w:pPr>
              <w:pStyle w:val="Compact"/>
            </w:pPr>
            <w:r>
              <w:t xml:space="preserve">Yes</w:t>
            </w:r>
          </w:p>
        </w:tc>
        <w:tc>
          <w:tcPr/>
          <w:p>
            <w:pPr>
              <w:pStyle w:val="Compact"/>
            </w:pPr>
            <w:r>
              <w:t xml:space="preserve">PowerShell — see the Hybrid identity operations section; requires Identity Engineering Lead + IGO approval</w:t>
            </w:r>
          </w:p>
        </w:tc>
      </w:tr>
    </w:tbl>
    <w:bookmarkEnd w:id="77"/>
    <w:bookmarkStart w:id="89" w:name="X30919aa66658132a0c2c78f81c6e47aa18e2fef"/>
    <w:p>
      <w:pPr>
        <w:pStyle w:val="Heading3"/>
      </w:pPr>
      <w:r>
        <w:t xml:space="preserve">ServiceNow auto-routing and approval workflow for OneDrive sync issues</w:t>
      </w:r>
    </w:p>
    <w:bookmarkStart w:id="78" w:name="auto-routing-trigger-mechanisms"/>
    <w:p>
      <w:pPr>
        <w:pStyle w:val="Heading4"/>
      </w:pPr>
      <w:r>
        <w:t xml:space="preserve">Auto-routing trigger mechanisms</w:t>
      </w:r>
    </w:p>
    <w:p>
      <w:pPr>
        <w:pStyle w:val="Compact"/>
        <w:numPr>
          <w:ilvl w:val="0"/>
          <w:numId w:val="1021"/>
        </w:numPr>
      </w:pPr>
      <w:r>
        <w:rPr>
          <w:b/>
          <w:bCs/>
        </w:rPr>
        <w:t xml:space="preserve">User Self-Service:</w:t>
      </w:r>
      <w:r>
        <w:t xml:space="preserve"> </w:t>
      </w:r>
      <w:r>
        <w:t xml:space="preserve">User submits ServiceNow catalog item</w:t>
      </w:r>
      <w:r>
        <w:t xml:space="preserve"> </w:t>
      </w:r>
      <w:r>
        <w:t xml:space="preserve">“OneDrive Sync</w:t>
      </w:r>
      <w:r>
        <w:t xml:space="preserve"> </w:t>
      </w:r>
      <w:r>
        <w:t xml:space="preserve">Issue.”</w:t>
      </w:r>
      <w:r>
        <w:t xml:space="preserve"> </w:t>
      </w:r>
      <w:r>
        <w:t xml:space="preserve">Ticket is automatically assigned to the Help Desk tier queue. No</w:t>
      </w:r>
      <w:r>
        <w:t xml:space="preserve"> </w:t>
      </w:r>
      <w:r>
        <w:t xml:space="preserve">pre-approval required to begin triage. Entra-level actions require approval</w:t>
      </w:r>
      <w:r>
        <w:t xml:space="preserve"> </w:t>
      </w:r>
      <w:r>
        <w:t xml:space="preserve">before execution.</w:t>
      </w:r>
    </w:p>
    <w:p>
      <w:pPr>
        <w:pStyle w:val="Compact"/>
        <w:numPr>
          <w:ilvl w:val="0"/>
          <w:numId w:val="1021"/>
        </w:numPr>
      </w:pPr>
      <w:r>
        <w:rPr>
          <w:b/>
          <w:bCs/>
        </w:rPr>
        <w:t xml:space="preserve">SAM Alert:</w:t>
      </w:r>
      <w:r>
        <w:t xml:space="preserve"> </w:t>
      </w:r>
      <w:r>
        <w:t xml:space="preserve">SAM detects a provisioning failure or license gap for a user</w:t>
      </w:r>
      <w:r>
        <w:t xml:space="preserve"> </w:t>
      </w:r>
      <w:r>
        <w:t xml:space="preserve">account (e.g., license removed during access certification). SAM automatically</w:t>
      </w:r>
      <w:r>
        <w:t xml:space="preserve"> </w:t>
      </w:r>
      <w:r>
        <w:t xml:space="preserve">creates a ServiceNow incident and assigns to Help Desk with the affected user’s</w:t>
      </w:r>
      <w:r>
        <w:t xml:space="preserve"> </w:t>
      </w:r>
      <w:r>
        <w:t xml:space="preserve">UPN and specific failure reason.</w:t>
      </w:r>
    </w:p>
    <w:p>
      <w:pPr>
        <w:pStyle w:val="Compact"/>
        <w:numPr>
          <w:ilvl w:val="0"/>
          <w:numId w:val="1021"/>
        </w:numPr>
      </w:pPr>
      <w:r>
        <w:rPr>
          <w:b/>
          <w:bCs/>
        </w:rPr>
        <w:t xml:space="preserve">Azure Monitor / Entra Alert:</w:t>
      </w:r>
      <w:r>
        <w:t xml:space="preserve"> </w:t>
      </w:r>
      <w:r>
        <w:t xml:space="preserve">An Azure Monitor alert or Entra diagnostic rule</w:t>
      </w:r>
      <w:r>
        <w:t xml:space="preserve"> </w:t>
      </w:r>
      <w:r>
        <w:t xml:space="preserve">detects repeated sign-in failures for the OneDrive application from a specific</w:t>
      </w:r>
      <w:r>
        <w:t xml:space="preserve"> </w:t>
      </w:r>
      <w:r>
        <w:t xml:space="preserve">user or group of users. The alert fires a webhook that auto-creates a ServiceNow</w:t>
      </w:r>
      <w:r>
        <w:t xml:space="preserve"> </w:t>
      </w:r>
      <w:r>
        <w:t xml:space="preserve">incident assigned to Help Desk for investigation.</w:t>
      </w:r>
    </w:p>
    <w:bookmarkEnd w:id="78"/>
    <w:bookmarkStart w:id="79" w:name="X4752acc9ea6fd4ba36fdc1e42f08867d65f790a"/>
    <w:p>
      <w:pPr>
        <w:pStyle w:val="Heading4"/>
      </w:pPr>
      <w:r>
        <w:t xml:space="preserve">Approval requirements by resolution action</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Resolution action</w:t>
            </w:r>
          </w:p>
        </w:tc>
        <w:tc>
          <w:tcPr/>
          <w:p>
            <w:pPr>
              <w:pStyle w:val="Compact"/>
            </w:pPr>
            <w:r>
              <w:rPr>
                <w:b/>
                <w:bCs/>
              </w:rPr>
              <w:t xml:space="preserve">Approval required?</w:t>
            </w:r>
          </w:p>
        </w:tc>
        <w:tc>
          <w:tcPr/>
          <w:p>
            <w:pPr>
              <w:pStyle w:val="Compact"/>
            </w:pPr>
            <w:r>
              <w:rPr>
                <w:b/>
                <w:bCs/>
              </w:rPr>
              <w:t xml:space="preserve">Approver</w:t>
            </w:r>
          </w:p>
        </w:tc>
        <w:tc>
          <w:tcPr/>
          <w:p>
            <w:pPr>
              <w:pStyle w:val="Compact"/>
            </w:pPr>
            <w:r>
              <w:rPr>
                <w:b/>
                <w:bCs/>
              </w:rPr>
              <w:t xml:space="preserve">Approval method</w:t>
            </w:r>
          </w:p>
        </w:tc>
        <w:tc>
          <w:tcPr/>
          <w:p>
            <w:pPr>
              <w:pStyle w:val="Compact"/>
            </w:pPr>
            <w:r>
              <w:rPr>
                <w:b/>
                <w:bCs/>
              </w:rPr>
              <w:t xml:space="preserve">Help Desk proceeds after</w:t>
            </w:r>
          </w:p>
        </w:tc>
      </w:tr>
      <w:tr>
        <w:tc>
          <w:tcPr/>
          <w:p>
            <w:pPr>
              <w:pStyle w:val="Compact"/>
            </w:pPr>
            <w:r>
              <w:t xml:space="preserve">Client-side fix only (sign-out/in, reset, reinstall)</w:t>
            </w:r>
          </w:p>
        </w:tc>
        <w:tc>
          <w:tcPr/>
          <w:p>
            <w:pPr>
              <w:pStyle w:val="Compact"/>
            </w:pPr>
            <w:r>
              <w:t xml:space="preserve">No</w:t>
            </w:r>
          </w:p>
        </w:tc>
        <w:tc>
          <w:tcPr/>
          <w:p>
            <w:pPr>
              <w:pStyle w:val="Compact"/>
            </w:pPr>
            <w:r>
              <w:t xml:space="preserve">N/A</w:t>
            </w:r>
          </w:p>
        </w:tc>
        <w:tc>
          <w:tcPr/>
          <w:p>
            <w:pPr>
              <w:pStyle w:val="Compact"/>
            </w:pPr>
            <w:r>
              <w:t xml:space="preserve">N/A</w:t>
            </w:r>
          </w:p>
        </w:tc>
        <w:tc>
          <w:tcPr/>
          <w:p>
            <w:pPr>
              <w:pStyle w:val="Compact"/>
            </w:pPr>
            <w:r>
              <w:t xml:space="preserve">Ticket in Assigned status</w:t>
            </w:r>
          </w:p>
        </w:tc>
      </w:tr>
      <w:tr>
        <w:tc>
          <w:tcPr/>
          <w:p>
            <w:pPr>
              <w:pStyle w:val="Compact"/>
            </w:pPr>
            <w:r>
              <w:t xml:space="preserve">License assignment or modification</w:t>
            </w:r>
          </w:p>
        </w:tc>
        <w:tc>
          <w:tcPr/>
          <w:p>
            <w:pPr>
              <w:pStyle w:val="Compact"/>
            </w:pPr>
            <w:r>
              <w:t xml:space="preserve">Yes</w:t>
            </w:r>
          </w:p>
        </w:tc>
        <w:tc>
          <w:tcPr/>
          <w:p>
            <w:pPr>
              <w:pStyle w:val="Compact"/>
            </w:pPr>
            <w:r>
              <w:t xml:space="preserve">Departmental Owner</w:t>
            </w:r>
          </w:p>
        </w:tc>
        <w:tc>
          <w:tcPr/>
          <w:p>
            <w:pPr>
              <w:pStyle w:val="Compact"/>
            </w:pPr>
            <w:r>
              <w:t xml:space="preserve">ServiceNow approval task</w:t>
            </w:r>
          </w:p>
        </w:tc>
        <w:tc>
          <w:tcPr/>
          <w:p>
            <w:pPr>
              <w:pStyle w:val="Compact"/>
            </w:pPr>
            <w:r>
              <w:t xml:space="preserve">Approval complete + User Admin PIM elevation</w:t>
            </w:r>
          </w:p>
        </w:tc>
      </w:tr>
      <w:tr>
        <w:tc>
          <w:tcPr/>
          <w:p>
            <w:pPr>
              <w:pStyle w:val="Compact"/>
            </w:pPr>
            <w:r>
              <w:t xml:space="preserve">OneDrive provisioning trigger</w:t>
            </w:r>
          </w:p>
        </w:tc>
        <w:tc>
          <w:tcPr/>
          <w:p>
            <w:pPr>
              <w:pStyle w:val="Compact"/>
            </w:pPr>
            <w:r>
              <w:t xml:space="preserve">Yes</w:t>
            </w:r>
          </w:p>
        </w:tc>
        <w:tc>
          <w:tcPr/>
          <w:p>
            <w:pPr>
              <w:pStyle w:val="Compact"/>
            </w:pPr>
            <w:r>
              <w:t xml:space="preserve">Departmental Owner</w:t>
            </w:r>
          </w:p>
        </w:tc>
        <w:tc>
          <w:tcPr/>
          <w:p>
            <w:pPr>
              <w:pStyle w:val="Compact"/>
            </w:pPr>
            <w:r>
              <w:t xml:space="preserve">ServiceNow approval task</w:t>
            </w:r>
          </w:p>
        </w:tc>
        <w:tc>
          <w:tcPr/>
          <w:p>
            <w:pPr>
              <w:pStyle w:val="Compact"/>
            </w:pPr>
            <w:r>
              <w:t xml:space="preserve">Approval complete in ServiceNow</w:t>
            </w:r>
          </w:p>
        </w:tc>
      </w:tr>
      <w:tr>
        <w:tc>
          <w:tcPr/>
          <w:p>
            <w:pPr>
              <w:pStyle w:val="Compact"/>
            </w:pPr>
            <w:r>
              <w:t xml:space="preserve">MFA reset to resolve authentication loop</w:t>
            </w:r>
          </w:p>
        </w:tc>
        <w:tc>
          <w:tcPr/>
          <w:p>
            <w:pPr>
              <w:pStyle w:val="Compact"/>
            </w:pPr>
            <w:r>
              <w:t xml:space="preserve">Yes</w:t>
            </w:r>
          </w:p>
        </w:tc>
        <w:tc>
          <w:tcPr/>
          <w:p>
            <w:pPr>
              <w:pStyle w:val="Compact"/>
            </w:pPr>
            <w:r>
              <w:t xml:space="preserve">Help Desk Supervisor</w:t>
            </w:r>
          </w:p>
        </w:tc>
        <w:tc>
          <w:tcPr/>
          <w:p>
            <w:pPr>
              <w:pStyle w:val="Compact"/>
            </w:pPr>
            <w:r>
              <w:t xml:space="preserve">ServiceNow approval task</w:t>
            </w:r>
          </w:p>
        </w:tc>
        <w:tc>
          <w:tcPr/>
          <w:p>
            <w:pPr>
              <w:pStyle w:val="Compact"/>
            </w:pPr>
            <w:r>
              <w:t xml:space="preserve">Supervisor approval complete + Auth Admin PIM elevation</w:t>
            </w:r>
          </w:p>
        </w:tc>
      </w:tr>
      <w:tr>
        <w:tc>
          <w:tcPr/>
          <w:p>
            <w:pPr>
              <w:pStyle w:val="Compact"/>
            </w:pPr>
            <w:r>
              <w:t xml:space="preserve">ImmutableID repair</w:t>
            </w:r>
          </w:p>
        </w:tc>
        <w:tc>
          <w:tcPr/>
          <w:p>
            <w:pPr>
              <w:pStyle w:val="Compact"/>
            </w:pPr>
            <w:r>
              <w:t xml:space="preserve">Yes — two-stage</w:t>
            </w:r>
          </w:p>
        </w:tc>
        <w:tc>
          <w:tcPr/>
          <w:p>
            <w:pPr>
              <w:pStyle w:val="Compact"/>
            </w:pPr>
            <w:r>
              <w:t xml:space="preserve">Identity Engineering Lead + IGO</w:t>
            </w:r>
          </w:p>
        </w:tc>
        <w:tc>
          <w:tcPr/>
          <w:p>
            <w:pPr>
              <w:pStyle w:val="Compact"/>
            </w:pPr>
            <w:r>
              <w:t xml:space="preserve">Two-stage ServiceNow approval workflow</w:t>
            </w:r>
          </w:p>
        </w:tc>
        <w:tc>
          <w:tcPr/>
          <w:p>
            <w:pPr>
              <w:pStyle w:val="Compact"/>
            </w:pPr>
            <w:r>
              <w:t xml:space="preserve">Both approvals complete + Hybrid Identity Admin PIM elevation</w:t>
            </w:r>
          </w:p>
        </w:tc>
      </w:tr>
      <w:tr>
        <w:tc>
          <w:tcPr/>
          <w:p>
            <w:pPr>
              <w:pStyle w:val="Compact"/>
            </w:pPr>
            <w:r>
              <w:t xml:space="preserve">Conditional Access exception or policy modification</w:t>
            </w:r>
          </w:p>
        </w:tc>
        <w:tc>
          <w:tcPr/>
          <w:p>
            <w:pPr>
              <w:pStyle w:val="Compact"/>
            </w:pPr>
            <w:r>
              <w:t xml:space="preserve">Yes — ESCALATE, Help Desk does NOT execute</w:t>
            </w:r>
          </w:p>
        </w:tc>
        <w:tc>
          <w:tcPr/>
          <w:p>
            <w:pPr>
              <w:pStyle w:val="Compact"/>
            </w:pPr>
            <w:r>
              <w:t xml:space="preserve">Security Admin + IGO</w:t>
            </w:r>
          </w:p>
        </w:tc>
        <w:tc>
          <w:tcPr/>
          <w:p>
            <w:pPr>
              <w:pStyle w:val="Compact"/>
            </w:pPr>
            <w:r>
              <w:t xml:space="preserve">Separate CAB (Change Advisory Board) process</w:t>
            </w:r>
          </w:p>
        </w:tc>
        <w:tc>
          <w:tcPr/>
          <w:p>
            <w:pPr>
              <w:pStyle w:val="Compact"/>
            </w:pPr>
            <w:r>
              <w:t xml:space="preserve">Help Desk documents and escalates. Does not execute.</w:t>
            </w:r>
          </w:p>
        </w:tc>
      </w:tr>
    </w:tbl>
    <w:bookmarkEnd w:id="79"/>
    <w:bookmarkStart w:id="88" w:name="full-onedrive-resolution-workflow"/>
    <w:p>
      <w:pPr>
        <w:pStyle w:val="Heading4"/>
      </w:pPr>
      <w:r>
        <w:t xml:space="preserve">Full OneDrive resolution workflow</w:t>
      </w:r>
    </w:p>
    <w:p>
      <w:pPr>
        <w:pStyle w:val="Compact"/>
        <w:numPr>
          <w:ilvl w:val="0"/>
          <w:numId w:val="1022"/>
        </w:numPr>
      </w:pPr>
      <w:r>
        <w:rPr>
          <w:b/>
          <w:bCs/>
        </w:rPr>
        <w:t xml:space="preserve">SAM detects issue or user submits catalog item</w:t>
      </w:r>
      <w:r>
        <w:t xml:space="preserve"> </w:t>
      </w:r>
      <w:r>
        <w:t xml:space="preserve">→ ServiceNow ticket created</w:t>
      </w:r>
      <w:r>
        <w:t xml:space="preserve"> </w:t>
      </w:r>
      <w:r>
        <w:t xml:space="preserve">and assigned to Help Desk queue.</w:t>
      </w:r>
    </w:p>
    <w:p>
      <w:pPr>
        <w:pStyle w:val="Compact"/>
        <w:numPr>
          <w:ilvl w:val="0"/>
          <w:numId w:val="1022"/>
        </w:numPr>
      </w:pPr>
      <w:r>
        <w:rPr>
          <w:b/>
          <w:bCs/>
        </w:rPr>
        <w:t xml:space="preserve">Help Desk acknowledges ticket</w:t>
      </w:r>
      <w:r>
        <w:t xml:space="preserve"> </w:t>
      </w:r>
      <w:r>
        <w:t xml:space="preserve">within SLA acknowledgement window. Sets ticket</w:t>
      </w:r>
      <w:r>
        <w:t xml:space="preserve"> </w:t>
      </w:r>
      <w:r>
        <w:t xml:space="preserve">to</w:t>
      </w:r>
      <w:r>
        <w:t xml:space="preserve"> </w:t>
      </w:r>
      <w:r>
        <w:t xml:space="preserve">“In Progress.”</w:t>
      </w:r>
    </w:p>
    <w:p>
      <w:pPr>
        <w:pStyle w:val="Compact"/>
        <w:numPr>
          <w:ilvl w:val="0"/>
          <w:numId w:val="1022"/>
        </w:numPr>
      </w:pPr>
      <w:r>
        <w:rPr>
          <w:b/>
          <w:bCs/>
        </w:rPr>
        <w:t xml:space="preserve">Help Desk performs triage</w:t>
      </w:r>
      <w:r>
        <w:t xml:space="preserve"> </w:t>
      </w:r>
      <w:r>
        <w:t xml:space="preserve">— Steps 1–6 of the step-by-step triage workflow —</w:t>
      </w:r>
      <w:r>
        <w:t xml:space="preserve"> </w:t>
      </w:r>
      <w:r>
        <w:t xml:space="preserve">without PIM elevation where possible.</w:t>
      </w:r>
    </w:p>
    <w:p>
      <w:pPr>
        <w:pStyle w:val="Compact"/>
        <w:numPr>
          <w:ilvl w:val="0"/>
          <w:numId w:val="1022"/>
        </w:numPr>
      </w:pPr>
      <w:r>
        <w:rPr>
          <w:b/>
          <w:bCs/>
        </w:rPr>
        <w:t xml:space="preserve">Help Desk determines root cause</w:t>
      </w:r>
      <w:r>
        <w:t xml:space="preserve"> </w:t>
      </w:r>
      <w:r>
        <w:t xml:space="preserve">and identifies required resolution action.</w:t>
      </w:r>
    </w:p>
    <w:p>
      <w:pPr>
        <w:pStyle w:val="Compact"/>
        <w:numPr>
          <w:ilvl w:val="0"/>
          <w:numId w:val="1022"/>
        </w:numPr>
      </w:pPr>
      <w:r>
        <w:rPr>
          <w:b/>
          <w:bCs/>
        </w:rPr>
        <w:t xml:space="preserve">If resolution requires approval</w:t>
      </w:r>
      <w:r>
        <w:t xml:space="preserve">: Help Desk creates a ServiceNow approval</w:t>
      </w:r>
      <w:r>
        <w:t xml:space="preserve"> </w:t>
      </w:r>
      <w:r>
        <w:t xml:space="preserve">task assigned to the appropriate approver (Departmental Owner, Supervisor,</w:t>
      </w:r>
      <w:r>
        <w:t xml:space="preserve"> </w:t>
      </w:r>
      <w:r>
        <w:t xml:space="preserve">Identity Engineering Lead, or IGO). Sets ticket to</w:t>
      </w:r>
      <w:r>
        <w:t xml:space="preserve"> </w:t>
      </w:r>
      <w:r>
        <w:t xml:space="preserve">“Pending Approval.”</w:t>
      </w:r>
    </w:p>
    <w:p>
      <w:pPr>
        <w:pStyle w:val="Compact"/>
        <w:numPr>
          <w:ilvl w:val="0"/>
          <w:numId w:val="1022"/>
        </w:numPr>
      </w:pPr>
      <w:r>
        <w:rPr>
          <w:b/>
          <w:bCs/>
        </w:rPr>
        <w:t xml:space="preserve">Approver acts on approval task</w:t>
      </w:r>
      <w:r>
        <w:t xml:space="preserve"> </w:t>
      </w:r>
      <w:r>
        <w:t xml:space="preserve">in ServiceNow. Upon approval, ticket returns</w:t>
      </w:r>
      <w:r>
        <w:t xml:space="preserve"> </w:t>
      </w:r>
      <w:r>
        <w:t xml:space="preserve">to</w:t>
      </w:r>
      <w:r>
        <w:t xml:space="preserve"> </w:t>
      </w:r>
      <w:r>
        <w:t xml:space="preserve">“In Progress”</w:t>
      </w:r>
      <w:r>
        <w:t xml:space="preserve"> </w:t>
      </w:r>
      <w:r>
        <w:t xml:space="preserve">in Help Desk queue.</w:t>
      </w:r>
    </w:p>
    <w:p>
      <w:pPr>
        <w:pStyle w:val="Compact"/>
        <w:numPr>
          <w:ilvl w:val="0"/>
          <w:numId w:val="1022"/>
        </w:numPr>
      </w:pPr>
      <w:r>
        <w:rPr>
          <w:b/>
          <w:bCs/>
        </w:rPr>
        <w:t xml:space="preserve">Help Desk executes Entra-level resolution</w:t>
      </w:r>
      <w:r>
        <w:t xml:space="preserve"> </w:t>
      </w:r>
      <w:r>
        <w:t xml:space="preserve">after PIM elevation as required.</w:t>
      </w:r>
      <w:r>
        <w:t xml:space="preserve"> </w:t>
      </w:r>
      <w:r>
        <w:t xml:space="preserve">Documents all actions in work notes.</w:t>
      </w:r>
    </w:p>
    <w:p>
      <w:pPr>
        <w:pStyle w:val="Compact"/>
        <w:numPr>
          <w:ilvl w:val="0"/>
          <w:numId w:val="1022"/>
        </w:numPr>
      </w:pPr>
      <w:r>
        <w:rPr>
          <w:b/>
          <w:bCs/>
        </w:rPr>
        <w:t xml:space="preserve">Help Desk validates resolution</w:t>
      </w:r>
      <w:r>
        <w:t xml:space="preserve">: Confirms with user that OneDrive sync has</w:t>
      </w:r>
      <w:r>
        <w:t xml:space="preserve"> </w:t>
      </w:r>
      <w:r>
        <w:t xml:space="preserve">resumed. Confirms Entra sign-in logs show successful authentication to OneDrive</w:t>
      </w:r>
      <w:r>
        <w:t xml:space="preserve"> </w:t>
      </w:r>
      <w:r>
        <w:t xml:space="preserve">app.</w:t>
      </w:r>
    </w:p>
    <w:p>
      <w:pPr>
        <w:pStyle w:val="Compact"/>
        <w:numPr>
          <w:ilvl w:val="0"/>
          <w:numId w:val="1022"/>
        </w:numPr>
      </w:pPr>
      <w:r>
        <w:rPr>
          <w:b/>
          <w:bCs/>
        </w:rPr>
        <w:t xml:space="preserve">Help Desk resolves ticket</w:t>
      </w:r>
      <w:r>
        <w:t xml:space="preserve">: Enters resolution summary. Updates SAM if a</w:t>
      </w:r>
      <w:r>
        <w:t xml:space="preserve"> </w:t>
      </w:r>
      <w:r>
        <w:t xml:space="preserve">provisioning or license status change was made (SAM team coordinates</w:t>
      </w:r>
      <w:r>
        <w:t xml:space="preserve"> </w:t>
      </w:r>
      <w:r>
        <w:t xml:space="preserve">bi-directional sync). Deactivates PIM session. Closes RITM.</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FirstParagraph"/>
            </w:pPr>
            <w:pPr>
              <w:spacing w:before="0" w:after="0"/>
              <w:textAlignment w:val="center"/>
            </w:pPr>
            <w:r>
              <w:drawing>
                <wp:inline>
                  <wp:extent cx="152400" cy="152400"/>
                  <wp:effectExtent b="0" l="0" r="0" t="0"/>
                  <wp:docPr descr="" title="" id="80" name="Picture"/>
                  <a:graphic>
                    <a:graphicData uri="http://schemas.openxmlformats.org/drawingml/2006/picture">
                      <pic:pic>
                        <pic:nvPicPr>
                          <pic:cNvPr descr="/opt/quarto/share/formats/docx/warning.png" id="81"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Conditional Access policies</w:t>
            </w:r>
          </w:p>
        </w:tc>
      </w:tr>
      <w:tr>
        <w:trPr>
          <w:cantSplit/>
        </w:trPr>
        <w:tc>
          <w:tcPr>
            <w:tcMar>
              <w:top w:w="108" w:type="dxa"/>
              <w:bottom w:w="108" w:type="dxa"/>
            </w:tcMar>
          </w:tcPr>
          <w:p>
            <w:pPr>
              <w:pStyle w:val="BodyText"/>
            </w:pPr>
            <w:pPr>
              <w:spacing w:before="16" w:after="16"/>
            </w:pPr>
            <w:r>
              <w:t xml:space="preserve">Help Desk must</w:t>
            </w:r>
            <w:r>
              <w:t xml:space="preserve"> </w:t>
            </w:r>
            <w:r>
              <w:rPr>
                <w:b/>
                <w:bCs/>
              </w:rPr>
              <w:t xml:space="preserve">NOT modify Conditional Access policies</w:t>
            </w:r>
            <w:r>
              <w:t xml:space="preserve"> </w:t>
            </w:r>
            <w:r>
              <w:t xml:space="preserve">even when CA is confirmed</w:t>
            </w:r>
            <w:r>
              <w:t xml:space="preserve"> </w:t>
            </w:r>
            <w:r>
              <w:t xml:space="preserve">as the root cause of the OneDrive sync failure. CA policy modification is reserved</w:t>
            </w:r>
            <w:r>
              <w:t xml:space="preserve"> </w:t>
            </w:r>
            <w:r>
              <w:t xml:space="preserve">for Security Administrators under Security Operations oversight. Help Desk action</w:t>
            </w:r>
            <w:r>
              <w:t xml:space="preserve"> </w:t>
            </w:r>
            <w:r>
              <w:t xml:space="preserve">is to identify, document, and escalate.</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2" name="Picture"/>
                  <a:graphic>
                    <a:graphicData uri="http://schemas.openxmlformats.org/drawingml/2006/picture">
                      <pic:pic>
                        <pic:nvPicPr>
                          <pic:cNvPr descr="/opt/quarto/share/formats/docx/note.png" id="83"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UPN change behavior</w:t>
            </w:r>
          </w:p>
        </w:tc>
      </w:tr>
      <w:tr>
        <w:trPr>
          <w:cantSplit/>
        </w:trPr>
        <w:tc>
          <w:tcPr>
            <w:tcMar>
              <w:top w:w="108" w:type="dxa"/>
              <w:bottom w:w="108" w:type="dxa"/>
            </w:tcMar>
          </w:tcPr>
          <w:p>
            <w:pPr>
              <w:pStyle w:val="BodyText"/>
            </w:pPr>
            <w:pPr>
              <w:spacing w:before="16" w:after="16"/>
            </w:pPr>
            <w:r>
              <w:t xml:space="preserve">A UPN change in Entra ID will</w:t>
            </w:r>
            <w:r>
              <w:t xml:space="preserve"> </w:t>
            </w:r>
            <w:r>
              <w:rPr>
                <w:b/>
                <w:bCs/>
              </w:rPr>
              <w:t xml:space="preserve">always</w:t>
            </w:r>
            <w:r>
              <w:t xml:space="preserve"> </w:t>
            </w:r>
            <w:r>
              <w:t xml:space="preserve">break OneDrive sync until the user signs</w:t>
            </w:r>
            <w:r>
              <w:t xml:space="preserve"> </w:t>
            </w:r>
            <w:r>
              <w:t xml:space="preserve">out of the OneDrive client and signs back in with the new UPN. This is expected</w:t>
            </w:r>
            <w:r>
              <w:t xml:space="preserve"> </w:t>
            </w:r>
            <w:r>
              <w:t xml:space="preserve">behavior, not a bug. No Entra-level action is required. Inform the user and</w:t>
            </w:r>
            <w:r>
              <w:t xml:space="preserve"> </w:t>
            </w:r>
            <w:r>
              <w:t xml:space="preserve">instruct them to sign out and sign back in to the OneDrive client on all devices.</w:t>
            </w:r>
          </w:p>
          <w:p/>
        </w:tc>
      </w:tr>
    </w:tbl>
    <w:p>
      <w:pPr>
        <w:pStyle w:val="BodyText"/>
      </w:pPr>
      <w:r>
        <w:t xml:space="preserve"> </w:t>
      </w:r>
    </w:p>
    <w:tbl>
      <w:tblPr>
        <w:tblStyle w:val="Table"/>
        <w:tblLook w:firstRow="0" w:lastRow="0" w:firstColumn="0" w:lastColumn="0" w:noHBand="0" w:noVBand="0" w:val="0000"/>
        <w:tblBorders>
          <w:top w:val="single" w:sz="4" w:space="0" w:color="0758E5"/>
          <w:left w:val="single" w:sz="24" w:space="0" w:color="0758E5"/>
          <w:bottom w:val="single" w:sz="4" w:space="0" w:color="0758E5"/>
          <w:right w:val="single" w:sz="4" w:space="0" w:color="0758E5"/>
        </w:tblBorders>
        <w:tblCellMar>
          <w:left w:w="144" w:type="dxa"/>
          <w:right w:w="144" w:type="dxa"/>
        </w:tblCellMar>
        <w:tblLook w:firstRow="0" w:lastRow="0" w:firstColumn="0" w:lastColumn="0" w:noHBand="0" w:noVBand="0" w:val="0000"/>
      </w:tblPr>
      <w:tr>
        <w:trPr>
          <w:cantSplit/>
        </w:trPr>
        <w:tc>
          <w:tcPr>
            <w:shd w:color="auto" w:fill="dae6fb" w:val="clear"/>
            <w:tcMar>
              <w:top w:w="92" w:type="dxa"/>
              <w:bottom w:w="92" w:type="dxa"/>
            </w:tcMar>
          </w:tcPr>
          <w:p>
            <w:pPr>
              <w:pStyle w:val="BodyText"/>
            </w:pPr>
            <w:pPr>
              <w:spacing w:before="0" w:after="0"/>
              <w:textAlignment w:val="center"/>
            </w:pPr>
            <w:r>
              <w:drawing>
                <wp:inline>
                  <wp:extent cx="152400" cy="152400"/>
                  <wp:effectExtent b="0" l="0" r="0" t="0"/>
                  <wp:docPr descr="" title="" id="84" name="Picture"/>
                  <a:graphic>
                    <a:graphicData uri="http://schemas.openxmlformats.org/drawingml/2006/picture">
                      <pic:pic>
                        <pic:nvPicPr>
                          <pic:cNvPr descr="/opt/quarto/share/formats/docx/note.png" id="85" name="Picture"/>
                          <pic:cNvPicPr>
                            <a:picLocks noChangeArrowheads="1" noChangeAspect="1"/>
                          </pic:cNvPicPr>
                        </pic:nvPicPr>
                        <pic:blipFill>
                          <a:blip r:embed="rId9"/>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Password reset sync errors</w:t>
            </w:r>
          </w:p>
        </w:tc>
      </w:tr>
      <w:tr>
        <w:trPr>
          <w:cantSplit/>
        </w:trPr>
        <w:tc>
          <w:tcPr>
            <w:tcMar>
              <w:top w:w="108" w:type="dxa"/>
              <w:bottom w:w="108" w:type="dxa"/>
            </w:tcMar>
          </w:tcPr>
          <w:p>
            <w:pPr>
              <w:pStyle w:val="BodyText"/>
            </w:pPr>
            <w:pPr>
              <w:spacing w:before="16" w:after="16"/>
            </w:pPr>
            <w:r>
              <w:t xml:space="preserve">Password reset sync errors in OneDrive</w:t>
            </w:r>
            <w:r>
              <w:t xml:space="preserve"> </w:t>
            </w:r>
            <w:r>
              <w:rPr>
                <w:b/>
                <w:bCs/>
              </w:rPr>
              <w:t xml:space="preserve">almost always resolve</w:t>
            </w:r>
            <w:r>
              <w:t xml:space="preserve"> </w:t>
            </w:r>
            <w:r>
              <w:t xml:space="preserve">by signing out and</w:t>
            </w:r>
            <w:r>
              <w:t xml:space="preserve"> </w:t>
            </w:r>
            <w:r>
              <w:t xml:space="preserve">back in to the OneDrive client after the password change is complete. Help Desk</w:t>
            </w:r>
            <w:r>
              <w:t xml:space="preserve"> </w:t>
            </w:r>
            <w:r>
              <w:t xml:space="preserve">should verify this simple step before escalating or performing any Entra-level</w:t>
            </w:r>
            <w:r>
              <w:t xml:space="preserve"> </w:t>
            </w:r>
            <w:r>
              <w:t xml:space="preserve">action.</w:t>
            </w:r>
          </w:p>
          <w:p/>
        </w:tc>
      </w:tr>
    </w:tbl>
    <w:p>
      <w:pPr>
        <w:pStyle w:val="BodyText"/>
      </w:pPr>
      <w:r>
        <w:t xml:space="preserve"> </w:t>
      </w:r>
    </w:p>
    <w:tbl>
      <w:tblPr>
        <w:tblStyle w:val="Table"/>
        <w:tblLook w:firstRow="0" w:lastRow="0" w:firstColumn="0" w:lastColumn="0" w:noHBand="0" w:noVBand="0" w:val="0000"/>
        <w:tblBorders>
          <w:top w:val="single" w:sz="4" w:space="0" w:color="EB9113"/>
          <w:left w:val="single" w:sz="24" w:space="0" w:color="EB9113"/>
          <w:bottom w:val="single" w:sz="4" w:space="0" w:color="EB9113"/>
          <w:right w:val="single" w:sz="4" w:space="0" w:color="EB9113"/>
        </w:tblBorders>
        <w:tblCellMar>
          <w:left w:w="144" w:type="dxa"/>
          <w:right w:w="144" w:type="dxa"/>
        </w:tblCellMar>
        <w:tblLook w:firstRow="0" w:lastRow="0" w:firstColumn="0" w:lastColumn="0" w:noHBand="0" w:noVBand="0" w:val="0000"/>
      </w:tblPr>
      <w:tr>
        <w:trPr>
          <w:cantSplit/>
        </w:trPr>
        <w:tc>
          <w:tcPr>
            <w:shd w:color="auto" w:fill="fcefdc" w:val="clear"/>
            <w:tcMar>
              <w:top w:w="92" w:type="dxa"/>
              <w:bottom w:w="92" w:type="dxa"/>
            </w:tcMar>
          </w:tcPr>
          <w:p>
            <w:pPr>
              <w:pStyle w:val="BodyText"/>
            </w:pPr>
            <w:pPr>
              <w:spacing w:before="0" w:after="0"/>
              <w:textAlignment w:val="center"/>
            </w:pPr>
            <w:r>
              <w:drawing>
                <wp:inline>
                  <wp:extent cx="152400" cy="152400"/>
                  <wp:effectExtent b="0" l="0" r="0" t="0"/>
                  <wp:docPr descr="" title="" id="86" name="Picture"/>
                  <a:graphic>
                    <a:graphicData uri="http://schemas.openxmlformats.org/drawingml/2006/picture">
                      <pic:pic>
                        <pic:nvPicPr>
                          <pic:cNvPr descr="/opt/quarto/share/formats/docx/warning.png" id="87" name="Picture"/>
                          <pic:cNvPicPr>
                            <a:picLocks noChangeArrowheads="1" noChangeAspect="1"/>
                          </pic:cNvPicPr>
                        </pic:nvPicPr>
                        <pic:blipFill>
                          <a:blip r:embed="rId17"/>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Ad hoc fixes are a policy violation</w:t>
            </w:r>
          </w:p>
        </w:tc>
      </w:tr>
      <w:tr>
        <w:trPr>
          <w:cantSplit/>
        </w:trPr>
        <w:tc>
          <w:tcPr>
            <w:tcMar>
              <w:top w:w="108" w:type="dxa"/>
              <w:bottom w:w="108" w:type="dxa"/>
            </w:tcMar>
          </w:tcPr>
          <w:p>
            <w:pPr>
              <w:pStyle w:val="BodyText"/>
            </w:pPr>
            <w:pPr>
              <w:spacing w:before="16" w:after="16"/>
            </w:pPr>
            <w:r>
              <w:t xml:space="preserve">Help Desk must</w:t>
            </w:r>
            <w:r>
              <w:t xml:space="preserve"> </w:t>
            </w:r>
            <w:r>
              <w:rPr>
                <w:b/>
                <w:bCs/>
              </w:rPr>
              <w:t xml:space="preserve">NEVER</w:t>
            </w:r>
            <w:r>
              <w:t xml:space="preserve"> </w:t>
            </w:r>
            <w:r>
              <w:t xml:space="preserve">execute an Entra-level OneDrive fix without a ServiceNow</w:t>
            </w:r>
            <w:r>
              <w:t xml:space="preserve"> </w:t>
            </w:r>
            <w:r>
              <w:t xml:space="preserve">ticket in</w:t>
            </w:r>
            <w:r>
              <w:t xml:space="preserve"> </w:t>
            </w:r>
            <w:r>
              <w:t xml:space="preserve">“Assigned”</w:t>
            </w:r>
            <w:r>
              <w:t xml:space="preserve"> </w:t>
            </w:r>
            <w:r>
              <w:t xml:space="preserve">status and all required approvals complete.</w:t>
            </w:r>
            <w:r>
              <w:t xml:space="preserve"> </w:t>
            </w:r>
            <w:r>
              <w:rPr>
                <w:b/>
                <w:bCs/>
              </w:rPr>
              <w:t xml:space="preserve">Ad hoc fixes</w:t>
            </w:r>
            <w:r>
              <w:rPr>
                <w:b/>
                <w:bCs/>
              </w:rPr>
              <w:t xml:space="preserve"> </w:t>
            </w:r>
            <w:r>
              <w:rPr>
                <w:b/>
                <w:bCs/>
              </w:rPr>
              <w:t xml:space="preserve">performed outside the ServiceNow workflow — regardless of urgency or who requests</w:t>
            </w:r>
            <w:r>
              <w:rPr>
                <w:b/>
                <w:bCs/>
              </w:rPr>
              <w:t xml:space="preserve"> </w:t>
            </w:r>
            <w:r>
              <w:rPr>
                <w:b/>
                <w:bCs/>
              </w:rPr>
              <w:t xml:space="preserve">them — are a policy violation</w:t>
            </w:r>
            <w:r>
              <w:t xml:space="preserve"> </w:t>
            </w:r>
            <w:r>
              <w:t xml:space="preserve">and will be identified during the next audit cycle.</w:t>
            </w:r>
            <w:r>
              <w:t xml:space="preserve"> </w:t>
            </w:r>
            <w:r>
              <w:t xml:space="preserve">If urgency is claimed, escalate to the Help Desk Supervisor who may invoke the</w:t>
            </w:r>
            <w:r>
              <w:t xml:space="preserve"> </w:t>
            </w:r>
            <w:r>
              <w:t xml:space="preserve">emergency change process through ServiceNow.</w:t>
            </w:r>
          </w:p>
          <w:p/>
        </w:tc>
      </w:tr>
    </w:tbl>
    <w:bookmarkEnd w:id="88"/>
    <w:bookmarkEnd w:id="89"/>
    <w:bookmarkEnd w:id="90"/>
    <w:bookmarkStart w:id="91" w:name="escalation-matrix"/>
    <w:p>
      <w:pPr>
        <w:pStyle w:val="Heading2"/>
      </w:pPr>
      <w:r>
        <w:t xml:space="preserve">Escalation matrix</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Issue type</w:t>
            </w:r>
          </w:p>
        </w:tc>
        <w:tc>
          <w:tcPr/>
          <w:p>
            <w:pPr>
              <w:pStyle w:val="Compact"/>
            </w:pPr>
            <w:r>
              <w:rPr>
                <w:b/>
                <w:bCs/>
              </w:rPr>
              <w:t xml:space="preserve">Help Desk can handle?</w:t>
            </w:r>
          </w:p>
        </w:tc>
        <w:tc>
          <w:tcPr/>
          <w:p>
            <w:pPr>
              <w:pStyle w:val="Compact"/>
            </w:pPr>
            <w:r>
              <w:rPr>
                <w:b/>
                <w:bCs/>
              </w:rPr>
              <w:t xml:space="preserve">Escalate to</w:t>
            </w:r>
          </w:p>
        </w:tc>
        <w:tc>
          <w:tcPr/>
          <w:p>
            <w:pPr>
              <w:pStyle w:val="Compact"/>
            </w:pPr>
            <w:r>
              <w:rPr>
                <w:b/>
                <w:bCs/>
              </w:rPr>
              <w:t xml:space="preserve">Escalation trigger</w:t>
            </w:r>
          </w:p>
        </w:tc>
      </w:tr>
      <w:tr>
        <w:tc>
          <w:tcPr/>
          <w:p>
            <w:pPr>
              <w:pStyle w:val="Compact"/>
            </w:pPr>
            <w:r>
              <w:rPr>
                <w:b/>
                <w:bCs/>
              </w:rPr>
              <w:t xml:space="preserve">Admin Consent request</w:t>
            </w:r>
          </w:p>
        </w:tc>
        <w:tc>
          <w:tcPr/>
          <w:p>
            <w:pPr>
              <w:pStyle w:val="Compact"/>
            </w:pPr>
            <w:r>
              <w:t xml:space="preserve">Triage only — NOT approval</w:t>
            </w:r>
          </w:p>
        </w:tc>
        <w:tc>
          <w:tcPr/>
          <w:p>
            <w:pPr>
              <w:pStyle w:val="Compact"/>
            </w:pPr>
            <w:r>
              <w:t xml:space="preserve">Application Owner → Identity Governance Officer (IGO)</w:t>
            </w:r>
          </w:p>
        </w:tc>
        <w:tc>
          <w:tcPr/>
          <w:p>
            <w:pPr>
              <w:pStyle w:val="Compact"/>
            </w:pPr>
            <w:r>
              <w:t xml:space="preserve">Any request involving Admin Consent permissions, regardless of source</w:t>
            </w:r>
          </w:p>
        </w:tc>
      </w:tr>
      <w:tr>
        <w:tc>
          <w:tcPr/>
          <w:p>
            <w:pPr>
              <w:pStyle w:val="Compact"/>
            </w:pPr>
            <w:r>
              <w:rPr>
                <w:b/>
                <w:bCs/>
              </w:rPr>
              <w:t xml:space="preserve">Enterprise Application group assignment</w:t>
            </w:r>
          </w:p>
        </w:tc>
        <w:tc>
          <w:tcPr/>
          <w:p>
            <w:pPr>
              <w:pStyle w:val="Compact"/>
            </w:pPr>
            <w:r>
              <w:t xml:space="preserve">Yes — with App Admin PIM + approved RITM</w:t>
            </w:r>
          </w:p>
        </w:tc>
        <w:tc>
          <w:tcPr/>
          <w:p>
            <w:pPr>
              <w:pStyle w:val="Compact"/>
            </w:pPr>
            <w:r>
              <w:t xml:space="preserve">Identity Engineering if Entra connector or app configuration issue</w:t>
            </w:r>
          </w:p>
        </w:tc>
        <w:tc>
          <w:tcPr/>
          <w:p>
            <w:pPr>
              <w:pStyle w:val="Compact"/>
            </w:pPr>
            <w:r>
              <w:t xml:space="preserve">Assignment fails to persist; App not found in Enterprise Apps; SAM approval metadata incomplete</w:t>
            </w:r>
          </w:p>
        </w:tc>
      </w:tr>
      <w:tr>
        <w:tc>
          <w:tcPr/>
          <w:p>
            <w:pPr>
              <w:pStyle w:val="Compact"/>
            </w:pPr>
            <w:r>
              <w:rPr>
                <w:b/>
                <w:bCs/>
              </w:rPr>
              <w:t xml:space="preserve">ImmutableID reset</w:t>
            </w:r>
          </w:p>
        </w:tc>
        <w:tc>
          <w:tcPr/>
          <w:p>
            <w:pPr>
              <w:pStyle w:val="Compact"/>
            </w:pPr>
            <w:r>
              <w:t xml:space="preserve">Yes — with Hybrid Identity Admin PIM + dual approval (Identity Engineering Lead + IGO)</w:t>
            </w:r>
          </w:p>
        </w:tc>
        <w:tc>
          <w:tcPr/>
          <w:p>
            <w:pPr>
              <w:pStyle w:val="Compact"/>
            </w:pPr>
            <w:r>
              <w:t xml:space="preserve">Identity Engineering if PowerShell errors; if duplicate objects found</w:t>
            </w:r>
          </w:p>
        </w:tc>
        <w:tc>
          <w:tcPr/>
          <w:p>
            <w:pPr>
              <w:pStyle w:val="Compact"/>
            </w:pPr>
            <w:r>
              <w:t xml:space="preserve">Incorrect ImmutableID value provided; command errors; account does not recover after sync; duplicate objects detected</w:t>
            </w:r>
          </w:p>
        </w:tc>
      </w:tr>
      <w:tr>
        <w:tc>
          <w:tcPr/>
          <w:p>
            <w:pPr>
              <w:pStyle w:val="Compact"/>
            </w:pPr>
            <w:r>
              <w:rPr>
                <w:b/>
                <w:bCs/>
              </w:rPr>
              <w:t xml:space="preserve">MFA method reset</w:t>
            </w:r>
          </w:p>
        </w:tc>
        <w:tc>
          <w:tcPr/>
          <w:p>
            <w:pPr>
              <w:pStyle w:val="Compact"/>
            </w:pPr>
            <w:r>
              <w:t xml:space="preserve">Yes — with Auth Admin PIM + Supervisor approval; only for non-admin users</w:t>
            </w:r>
          </w:p>
        </w:tc>
        <w:tc>
          <w:tcPr/>
          <w:p>
            <w:pPr>
              <w:pStyle w:val="Compact"/>
            </w:pPr>
            <w:r>
              <w:t xml:space="preserve">Global Admin or Privileged Auth Administrator for users holding Entra roles</w:t>
            </w:r>
          </w:p>
        </w:tc>
        <w:tc>
          <w:tcPr/>
          <w:p>
            <w:pPr>
              <w:pStyle w:val="Compact"/>
            </w:pPr>
            <w:r>
              <w:t xml:space="preserve">User holds an Entra directory role; Auth Admin role not assigned to PAG; method reset fails</w:t>
            </w:r>
          </w:p>
        </w:tc>
      </w:tr>
      <w:tr>
        <w:tc>
          <w:tcPr/>
          <w:p>
            <w:pPr>
              <w:pStyle w:val="Compact"/>
            </w:pPr>
            <w:r>
              <w:rPr>
                <w:b/>
                <w:bCs/>
              </w:rPr>
              <w:t xml:space="preserve">Conditional Access — access blocked</w:t>
            </w:r>
          </w:p>
        </w:tc>
        <w:tc>
          <w:tcPr/>
          <w:p>
            <w:pPr>
              <w:pStyle w:val="Compact"/>
            </w:pPr>
            <w:r>
              <w:t xml:space="preserve">Identify and document only — NOT modify</w:t>
            </w:r>
          </w:p>
        </w:tc>
        <w:tc>
          <w:tcPr/>
          <w:p>
            <w:pPr>
              <w:pStyle w:val="Compact"/>
            </w:pPr>
            <w:r>
              <w:t xml:space="preserve">Security Operations / Security Administrator + IGO for policy exceptions</w:t>
            </w:r>
          </w:p>
        </w:tc>
        <w:tc>
          <w:tcPr/>
          <w:p>
            <w:pPr>
              <w:pStyle w:val="Compact"/>
            </w:pPr>
            <w:r>
              <w:t xml:space="preserve">CA policy confirmed as root cause of any access issue; user requires policy exception</w:t>
            </w:r>
          </w:p>
        </w:tc>
      </w:tr>
      <w:tr>
        <w:tc>
          <w:tcPr/>
          <w:p>
            <w:pPr>
              <w:pStyle w:val="Compact"/>
            </w:pPr>
            <w:r>
              <w:rPr>
                <w:b/>
                <w:bCs/>
              </w:rPr>
              <w:t xml:space="preserve">Entra directory role assignment</w:t>
            </w:r>
          </w:p>
        </w:tc>
        <w:tc>
          <w:tcPr/>
          <w:p>
            <w:pPr>
              <w:pStyle w:val="Compact"/>
            </w:pPr>
            <w:r>
              <w:t xml:space="preserve">No — completely out of scope</w:t>
            </w:r>
          </w:p>
        </w:tc>
        <w:tc>
          <w:tcPr/>
          <w:p>
            <w:pPr>
              <w:pStyle w:val="Compact"/>
            </w:pPr>
            <w:r>
              <w:t xml:space="preserve">Identity Engineering + IGO</w:t>
            </w:r>
          </w:p>
        </w:tc>
        <w:tc>
          <w:tcPr/>
          <w:p>
            <w:pPr>
              <w:pStyle w:val="Compact"/>
            </w:pPr>
            <w:r>
              <w:t xml:space="preserve">Any request to assign, modify, or remove an Entra directory role from any user or group</w:t>
            </w:r>
          </w:p>
        </w:tc>
      </w:tr>
      <w:tr>
        <w:tc>
          <w:tcPr/>
          <w:p>
            <w:pPr>
              <w:pStyle w:val="Compact"/>
            </w:pPr>
            <w:r>
              <w:rPr>
                <w:b/>
                <w:bCs/>
              </w:rPr>
              <w:t xml:space="preserve">Service Principal creation or modification</w:t>
            </w:r>
          </w:p>
        </w:tc>
        <w:tc>
          <w:tcPr/>
          <w:p>
            <w:pPr>
              <w:pStyle w:val="Compact"/>
            </w:pPr>
            <w:r>
              <w:t xml:space="preserve">No — completely out of scope</w:t>
            </w:r>
          </w:p>
        </w:tc>
        <w:tc>
          <w:tcPr/>
          <w:p>
            <w:pPr>
              <w:pStyle w:val="Compact"/>
            </w:pPr>
            <w:r>
              <w:t xml:space="preserve">Application Owner + Identity Engineering</w:t>
            </w:r>
          </w:p>
        </w:tc>
        <w:tc>
          <w:tcPr/>
          <w:p>
            <w:pPr>
              <w:pStyle w:val="Compact"/>
            </w:pPr>
            <w:r>
              <w:t xml:space="preserve">Any request to create, modify, or delete a Service Principal or App Registration</w:t>
            </w:r>
          </w:p>
        </w:tc>
      </w:tr>
      <w:tr>
        <w:tc>
          <w:tcPr/>
          <w:p>
            <w:pPr>
              <w:pStyle w:val="Compact"/>
            </w:pPr>
            <w:r>
              <w:rPr>
                <w:b/>
                <w:bCs/>
              </w:rPr>
              <w:t xml:space="preserve">OneDrive sync — client-side root cause</w:t>
            </w:r>
          </w:p>
        </w:tc>
        <w:tc>
          <w:tcPr/>
          <w:p>
            <w:pPr>
              <w:pStyle w:val="Compact"/>
            </w:pPr>
            <w:r>
              <w:t xml:space="preserve">Yes — no PIM required</w:t>
            </w:r>
          </w:p>
        </w:tc>
        <w:tc>
          <w:tcPr/>
          <w:p>
            <w:pPr>
              <w:pStyle w:val="Compact"/>
            </w:pPr>
            <w:r>
              <w:t xml:space="preserve">End-user device support team if client reinstall fails</w:t>
            </w:r>
          </w:p>
        </w:tc>
        <w:tc>
          <w:tcPr/>
          <w:p>
            <w:pPr>
              <w:pStyle w:val="Compact"/>
            </w:pPr>
            <w:r>
              <w:t xml:space="preserve">Reinstall fails; device OS issue; managed device policy conflict</w:t>
            </w:r>
          </w:p>
        </w:tc>
      </w:tr>
      <w:tr>
        <w:tc>
          <w:tcPr/>
          <w:p>
            <w:pPr>
              <w:pStyle w:val="Compact"/>
            </w:pPr>
            <w:r>
              <w:rPr>
                <w:b/>
                <w:bCs/>
              </w:rPr>
              <w:t xml:space="preserve">OneDrive sync — Conditional Access root cause</w:t>
            </w:r>
          </w:p>
        </w:tc>
        <w:tc>
          <w:tcPr/>
          <w:p>
            <w:pPr>
              <w:pStyle w:val="Compact"/>
            </w:pPr>
            <w:r>
              <w:t xml:space="preserve">Diagnose only — NOT modify</w:t>
            </w:r>
          </w:p>
        </w:tc>
        <w:tc>
          <w:tcPr/>
          <w:p>
            <w:pPr>
              <w:pStyle w:val="Compact"/>
            </w:pPr>
            <w:r>
              <w:t xml:space="preserve">Security Admin + IGO via CAB process</w:t>
            </w:r>
          </w:p>
        </w:tc>
        <w:tc>
          <w:tcPr/>
          <w:p>
            <w:pPr>
              <w:pStyle w:val="Compact"/>
            </w:pPr>
            <w:r>
              <w:t xml:space="preserve">CA policy confirmed as blocking OneDrive authentication</w:t>
            </w:r>
          </w:p>
        </w:tc>
      </w:tr>
      <w:tr>
        <w:tc>
          <w:tcPr/>
          <w:p>
            <w:pPr>
              <w:pStyle w:val="Compact"/>
            </w:pPr>
            <w:r>
              <w:rPr>
                <w:b/>
                <w:bCs/>
              </w:rPr>
              <w:t xml:space="preserve">OneDrive sync — ImmutableID / hybrid identity root cause</w:t>
            </w:r>
          </w:p>
        </w:tc>
        <w:tc>
          <w:tcPr/>
          <w:p>
            <w:pPr>
              <w:pStyle w:val="Compact"/>
            </w:pPr>
            <w:r>
              <w:t xml:space="preserve">Yes — with full dual approval and Hybrid Identity Admin PIM</w:t>
            </w:r>
          </w:p>
        </w:tc>
        <w:tc>
          <w:tcPr/>
          <w:p>
            <w:pPr>
              <w:pStyle w:val="Compact"/>
            </w:pPr>
            <w:r>
              <w:t xml:space="preserve">Identity Engineering if duplicate objects; if approval cannot be obtained</w:t>
            </w:r>
          </w:p>
        </w:tc>
        <w:tc>
          <w:tcPr/>
          <w:p>
            <w:pPr>
              <w:pStyle w:val="Compact"/>
            </w:pPr>
            <w:r>
              <w:t xml:space="preserve">Duplicate objects; approval not obtained; repair fails</w:t>
            </w:r>
          </w:p>
        </w:tc>
      </w:tr>
      <w:tr>
        <w:tc>
          <w:tcPr/>
          <w:p>
            <w:pPr>
              <w:pStyle w:val="Compact"/>
            </w:pPr>
            <w:r>
              <w:rPr>
                <w:b/>
                <w:bCs/>
              </w:rPr>
              <w:t xml:space="preserve">Unauthorized access grant detected in audit logs</w:t>
            </w:r>
          </w:p>
        </w:tc>
        <w:tc>
          <w:tcPr/>
          <w:p>
            <w:pPr>
              <w:pStyle w:val="Compact"/>
            </w:pPr>
            <w:r>
              <w:t xml:space="preserve">Document and escalate immediately — no remediation without direction</w:t>
            </w:r>
          </w:p>
        </w:tc>
        <w:tc>
          <w:tcPr/>
          <w:p>
            <w:pPr>
              <w:pStyle w:val="Compact"/>
            </w:pPr>
            <w:r>
              <w:t xml:space="preserve">IGO + Security Operations Center (SOC) — immediate notification</w:t>
            </w:r>
          </w:p>
        </w:tc>
        <w:tc>
          <w:tcPr/>
          <w:p>
            <w:pPr>
              <w:pStyle w:val="Compact"/>
            </w:pPr>
            <w:r>
              <w:t xml:space="preserve">Any audit log entry showing consent, role assignment, or access grant without corresponding approved RITM</w:t>
            </w:r>
          </w:p>
        </w:tc>
      </w:tr>
    </w:tbl>
    <w:bookmarkEnd w:id="91"/>
    <w:bookmarkStart w:id="98" w:name="audit-and-compliance-requirements"/>
    <w:p>
      <w:pPr>
        <w:pStyle w:val="Heading2"/>
      </w:pPr>
      <w:r>
        <w:t xml:space="preserve">Audit and compliance requirements</w:t>
      </w:r>
    </w:p>
    <w:bookmarkStart w:id="92" w:name="pim-elevation-logging"/>
    <w:p>
      <w:pPr>
        <w:pStyle w:val="Heading3"/>
      </w:pPr>
      <w:r>
        <w:t xml:space="preserve">PIM elevation logging</w:t>
      </w:r>
    </w:p>
    <w:p>
      <w:pPr>
        <w:pStyle w:val="FirstParagraph"/>
      </w:pPr>
      <w:r>
        <w:t xml:space="preserve">Every PIM role activation by a Help Desk technician generates an audit event in the</w:t>
      </w:r>
      <w:r>
        <w:t xml:space="preserve"> </w:t>
      </w:r>
      <w:r>
        <w:t xml:space="preserve">Entra ID Audit Logs that is automatically exported to the agency’s SIEM system. The</w:t>
      </w:r>
      <w:r>
        <w:t xml:space="preserve"> </w:t>
      </w:r>
      <w:r>
        <w:t xml:space="preserve">audit record includes the activating technician’s UPN, the role activated, the</w:t>
      </w:r>
      <w:r>
        <w:t xml:space="preserve"> </w:t>
      </w:r>
      <w:r>
        <w:t xml:space="preserve">justification text entered (must include the ServiceNow RITM number), the approval</w:t>
      </w:r>
      <w:r>
        <w:t xml:space="preserve"> </w:t>
      </w:r>
      <w:r>
        <w:t xml:space="preserve">chain (supervisor who approved), the activation and deactivation timestamps, and</w:t>
      </w:r>
      <w:r>
        <w:t xml:space="preserve"> </w:t>
      </w:r>
      <w:r>
        <w:t xml:space="preserve">the maximum session duration. Justification fields that do not reference a valid</w:t>
      </w:r>
      <w:r>
        <w:t xml:space="preserve"> </w:t>
      </w:r>
      <w:r>
        <w:t xml:space="preserve">RITM number are automatically flagged for review by the Identity Engineering team</w:t>
      </w:r>
      <w:r>
        <w:t xml:space="preserve"> </w:t>
      </w:r>
      <w:r>
        <w:t xml:space="preserve">and the IGO within 24 hours.</w:t>
      </w:r>
    </w:p>
    <w:bookmarkEnd w:id="92"/>
    <w:bookmarkStart w:id="93" w:name="Xfe0548ce9bf7ff433489520e3bbcec41cfcf989"/>
    <w:p>
      <w:pPr>
        <w:pStyle w:val="Heading3"/>
      </w:pPr>
      <w:r>
        <w:t xml:space="preserve">Enterprise Application change documentation</w:t>
      </w:r>
    </w:p>
    <w:p>
      <w:pPr>
        <w:pStyle w:val="FirstParagraph"/>
      </w:pPr>
      <w:r>
        <w:t xml:space="preserve">All Enterprise Application group assignment and removal actions must be documented</w:t>
      </w:r>
      <w:r>
        <w:t xml:space="preserve"> </w:t>
      </w:r>
      <w:r>
        <w:t xml:space="preserve">in the associated ServiceNow RITM work notes before the ticket is closed. The</w:t>
      </w:r>
      <w:r>
        <w:t xml:space="preserve"> </w:t>
      </w:r>
      <w:r>
        <w:t xml:space="preserve">documentation must include: the specific action performed (assign or remove), the</w:t>
      </w:r>
      <w:r>
        <w:t xml:space="preserve"> </w:t>
      </w:r>
      <w:r>
        <w:t xml:space="preserve">group name, the application name, the app role, the time of action, the</w:t>
      </w:r>
      <w:r>
        <w:t xml:space="preserve"> </w:t>
      </w:r>
      <w:r>
        <w:t xml:space="preserve">technician’s UPN, and confirmation that the action was validated. Tickets closed</w:t>
      </w:r>
      <w:r>
        <w:t xml:space="preserve"> </w:t>
      </w:r>
      <w:r>
        <w:t xml:space="preserve">without adequate work notes documentation will be returned for completion by the</w:t>
      </w:r>
      <w:r>
        <w:t xml:space="preserve"> </w:t>
      </w:r>
      <w:r>
        <w:t xml:space="preserve">Help Desk Supervisor.</w:t>
      </w:r>
    </w:p>
    <w:bookmarkEnd w:id="93"/>
    <w:bookmarkStart w:id="94" w:name="sam-originated-ritm-sla-requirements"/>
    <w:p>
      <w:pPr>
        <w:pStyle w:val="Heading3"/>
      </w:pPr>
      <w:r>
        <w:t xml:space="preserve">SAM-originated RITM SLA requirements</w:t>
      </w:r>
    </w:p>
    <w:tbl>
      <w:tblPr>
        <w:tblStyle w:val="Table"/>
        <w:tblW w:type="pct" w:w="5000"/>
        <w:tblLayout w:type="fixed"/>
        <w:tblLook w:firstRow="1" w:lastRow="0" w:firstColumn="0" w:lastColumn="0" w:noHBand="0" w:noVBand="0" w:val="0020"/>
      </w:tblPr>
      <w:tblGrid>
        <w:gridCol w:w="1980"/>
        <w:gridCol w:w="1980"/>
        <w:gridCol w:w="1980"/>
        <w:gridCol w:w="1980"/>
      </w:tblGrid>
      <w:tr>
        <w:trPr>
          <w:tblHeader w:val="on"/>
        </w:trPr>
        <w:tc>
          <w:tcPr/>
          <w:p>
            <w:pPr>
              <w:pStyle w:val="Compact"/>
            </w:pPr>
            <w:r>
              <w:rPr>
                <w:b/>
                <w:bCs/>
              </w:rPr>
              <w:t xml:space="preserve">RITM priority</w:t>
            </w:r>
          </w:p>
        </w:tc>
        <w:tc>
          <w:tcPr/>
          <w:p>
            <w:pPr>
              <w:pStyle w:val="Compact"/>
            </w:pPr>
            <w:r>
              <w:rPr>
                <w:b/>
                <w:bCs/>
              </w:rPr>
              <w:t xml:space="preserve">Acknowledgement SLA</w:t>
            </w:r>
          </w:p>
        </w:tc>
        <w:tc>
          <w:tcPr/>
          <w:p>
            <w:pPr>
              <w:pStyle w:val="Compact"/>
            </w:pPr>
            <w:r>
              <w:rPr>
                <w:b/>
                <w:bCs/>
              </w:rPr>
              <w:t xml:space="preserve">Resolution SLA</w:t>
            </w:r>
          </w:p>
        </w:tc>
        <w:tc>
          <w:tcPr/>
          <w:p>
            <w:pPr>
              <w:pStyle w:val="Compact"/>
            </w:pPr>
            <w:r>
              <w:rPr>
                <w:b/>
                <w:bCs/>
              </w:rPr>
              <w:t xml:space="preserve">Escalation trigger</w:t>
            </w:r>
          </w:p>
        </w:tc>
      </w:tr>
      <w:tr>
        <w:tc>
          <w:tcPr/>
          <w:p>
            <w:pPr>
              <w:pStyle w:val="Compact"/>
            </w:pPr>
            <w:r>
              <w:t xml:space="preserve">Priority 1 — Critical (security-related, IGO-directed)</w:t>
            </w:r>
          </w:p>
        </w:tc>
        <w:tc>
          <w:tcPr/>
          <w:p>
            <w:pPr>
              <w:pStyle w:val="Compact"/>
            </w:pPr>
            <w:r>
              <w:t xml:space="preserve">15 minutes</w:t>
            </w:r>
          </w:p>
        </w:tc>
        <w:tc>
          <w:tcPr/>
          <w:p>
            <w:pPr>
              <w:pStyle w:val="Compact"/>
            </w:pPr>
            <w:r>
              <w:t xml:space="preserve">4 hours</w:t>
            </w:r>
          </w:p>
        </w:tc>
        <w:tc>
          <w:tcPr/>
          <w:p>
            <w:pPr>
              <w:pStyle w:val="Compact"/>
            </w:pPr>
            <w:r>
              <w:t xml:space="preserve">Supervisor notified at 50% of resolution window</w:t>
            </w:r>
          </w:p>
        </w:tc>
      </w:tr>
      <w:tr>
        <w:tc>
          <w:tcPr/>
          <w:p>
            <w:pPr>
              <w:pStyle w:val="Compact"/>
            </w:pPr>
            <w:r>
              <w:t xml:space="preserve">Priority 2 — High (access certification revocation, ImmutableID)</w:t>
            </w:r>
          </w:p>
        </w:tc>
        <w:tc>
          <w:tcPr/>
          <w:p>
            <w:pPr>
              <w:pStyle w:val="Compact"/>
            </w:pPr>
            <w:r>
              <w:t xml:space="preserve">1 hour</w:t>
            </w:r>
          </w:p>
        </w:tc>
        <w:tc>
          <w:tcPr/>
          <w:p>
            <w:pPr>
              <w:pStyle w:val="Compact"/>
            </w:pPr>
            <w:r>
              <w:t xml:space="preserve">8 hours (business hours)</w:t>
            </w:r>
          </w:p>
        </w:tc>
        <w:tc>
          <w:tcPr/>
          <w:p>
            <w:pPr>
              <w:pStyle w:val="Compact"/>
            </w:pPr>
            <w:r>
              <w:t xml:space="preserve">Supervisor notified at 6 hours</w:t>
            </w:r>
          </w:p>
        </w:tc>
      </w:tr>
      <w:tr>
        <w:tc>
          <w:tcPr/>
          <w:p>
            <w:pPr>
              <w:pStyle w:val="Compact"/>
            </w:pPr>
            <w:r>
              <w:t xml:space="preserve">Priority 3 — Normal (Enterprise App assignment, MFA reset)</w:t>
            </w:r>
          </w:p>
        </w:tc>
        <w:tc>
          <w:tcPr/>
          <w:p>
            <w:pPr>
              <w:pStyle w:val="Compact"/>
            </w:pPr>
            <w:r>
              <w:t xml:space="preserve">4 hours</w:t>
            </w:r>
          </w:p>
        </w:tc>
        <w:tc>
          <w:tcPr/>
          <w:p>
            <w:pPr>
              <w:pStyle w:val="Compact"/>
            </w:pPr>
            <w:r>
              <w:t xml:space="preserve">3 business days</w:t>
            </w:r>
          </w:p>
        </w:tc>
        <w:tc>
          <w:tcPr/>
          <w:p>
            <w:pPr>
              <w:pStyle w:val="Compact"/>
            </w:pPr>
            <w:r>
              <w:t xml:space="preserve">Supervisor notified at day 2</w:t>
            </w:r>
          </w:p>
        </w:tc>
      </w:tr>
      <w:tr>
        <w:tc>
          <w:tcPr/>
          <w:p>
            <w:pPr>
              <w:pStyle w:val="Compact"/>
            </w:pPr>
            <w:r>
              <w:t xml:space="preserve">Priority 4 — Low (OneDrive sync, provisioning trigger)</w:t>
            </w:r>
          </w:p>
        </w:tc>
        <w:tc>
          <w:tcPr/>
          <w:p>
            <w:pPr>
              <w:pStyle w:val="Compact"/>
            </w:pPr>
            <w:r>
              <w:t xml:space="preserve">8 hours</w:t>
            </w:r>
          </w:p>
        </w:tc>
        <w:tc>
          <w:tcPr/>
          <w:p>
            <w:pPr>
              <w:pStyle w:val="Compact"/>
            </w:pPr>
            <w:r>
              <w:t xml:space="preserve">5 business days</w:t>
            </w:r>
          </w:p>
        </w:tc>
        <w:tc>
          <w:tcPr/>
          <w:p>
            <w:pPr>
              <w:pStyle w:val="Compact"/>
            </w:pPr>
            <w:r>
              <w:t xml:space="preserve">Supervisor notified at day 4</w:t>
            </w:r>
          </w:p>
        </w:tc>
      </w:tr>
    </w:tbl>
    <w:bookmarkEnd w:id="94"/>
    <w:bookmarkStart w:id="95" w:name="quarterly-access-reviews"/>
    <w:p>
      <w:pPr>
        <w:pStyle w:val="Heading3"/>
      </w:pPr>
      <w:r>
        <w:t xml:space="preserve">Quarterly access reviews</w:t>
      </w:r>
    </w:p>
    <w:p>
      <w:pPr>
        <w:pStyle w:val="FirstParagraph"/>
      </w:pPr>
      <w:r>
        <w:t xml:space="preserve">The PAG membership (Entra-HelpDesk-Operators) is subject to a formal access review</w:t>
      </w:r>
      <w:r>
        <w:t xml:space="preserve"> </w:t>
      </w:r>
      <w:r>
        <w:t xml:space="preserve">on a</w:t>
      </w:r>
      <w:r>
        <w:t xml:space="preserve"> </w:t>
      </w:r>
      <w:r>
        <w:rPr>
          <w:b/>
          <w:bCs/>
        </w:rPr>
        <w:t xml:space="preserve">quarterly basis</w:t>
      </w:r>
      <w:r>
        <w:t xml:space="preserve">, coordinated by the IGO and executed through the SAM</w:t>
      </w:r>
      <w:r>
        <w:t xml:space="preserve"> </w:t>
      </w:r>
      <w:r>
        <w:t xml:space="preserve">platform. Each review cycle:</w:t>
      </w:r>
    </w:p>
    <w:p>
      <w:pPr>
        <w:pStyle w:val="Compact"/>
        <w:numPr>
          <w:ilvl w:val="0"/>
          <w:numId w:val="1023"/>
        </w:numPr>
      </w:pPr>
      <w:r>
        <w:t xml:space="preserve">SAM generates a certification campaign for all current PAG members.</w:t>
      </w:r>
    </w:p>
    <w:p>
      <w:pPr>
        <w:pStyle w:val="Compact"/>
        <w:numPr>
          <w:ilvl w:val="0"/>
          <w:numId w:val="1023"/>
        </w:numPr>
      </w:pPr>
      <w:r>
        <w:t xml:space="preserve">Help Desk Supervisor reviews and certifies each member’s continued need for PAG</w:t>
      </w:r>
      <w:r>
        <w:t xml:space="preserve"> </w:t>
      </w:r>
      <w:r>
        <w:t xml:space="preserve">membership.</w:t>
      </w:r>
    </w:p>
    <w:p>
      <w:pPr>
        <w:pStyle w:val="Compact"/>
        <w:numPr>
          <w:ilvl w:val="0"/>
          <w:numId w:val="1023"/>
        </w:numPr>
      </w:pPr>
      <w:r>
        <w:t xml:space="preserve">Any member not certified within the certification window is automatically removed</w:t>
      </w:r>
      <w:r>
        <w:t xml:space="preserve"> </w:t>
      </w:r>
      <w:r>
        <w:t xml:space="preserve">from the PAG by SAM.</w:t>
      </w:r>
    </w:p>
    <w:p>
      <w:pPr>
        <w:pStyle w:val="Compact"/>
        <w:numPr>
          <w:ilvl w:val="0"/>
          <w:numId w:val="1023"/>
        </w:numPr>
      </w:pPr>
      <w:r>
        <w:t xml:space="preserve">Results are documented in SAM and a summary report is provided to the IGO.</w:t>
      </w:r>
    </w:p>
    <w:p>
      <w:pPr>
        <w:pStyle w:val="Compact"/>
        <w:numPr>
          <w:ilvl w:val="0"/>
          <w:numId w:val="1023"/>
        </w:numPr>
      </w:pPr>
      <w:r>
        <w:t xml:space="preserve">Annual re-authorization by the IGO is required for the PAG to remain active with</w:t>
      </w:r>
      <w:r>
        <w:t xml:space="preserve"> </w:t>
      </w:r>
      <w:r>
        <w:t xml:space="preserve">its current role configuration.</w:t>
      </w:r>
    </w:p>
    <w:bookmarkEnd w:id="95"/>
    <w:bookmarkStart w:id="96" w:name="audit-log-retention"/>
    <w:p>
      <w:pPr>
        <w:pStyle w:val="Heading3"/>
      </w:pPr>
      <w:r>
        <w:t xml:space="preserve">Audit log retention</w:t>
      </w:r>
    </w:p>
    <w:p>
      <w:pPr>
        <w:pStyle w:val="FirstParagraph"/>
      </w:pPr>
      <w:r>
        <w:t xml:space="preserve">Entra ID Audit Logs and Sign-in Logs are retained in accordance with the agency’s</w:t>
      </w:r>
      <w:r>
        <w:t xml:space="preserve"> </w:t>
      </w:r>
      <w:r>
        <w:t xml:space="preserve">data retention policy and applicable federal and state records management</w:t>
      </w:r>
      <w:r>
        <w:t xml:space="preserve"> </w:t>
      </w:r>
      <w:r>
        <w:t xml:space="preserve">requirements. Logs are exported from Entra ID to the agency’s SIEM and long-term</w:t>
      </w:r>
      <w:r>
        <w:t xml:space="preserve"> </w:t>
      </w:r>
      <w:r>
        <w:t xml:space="preserve">log management system. Help Desk personnel are</w:t>
      </w:r>
      <w:r>
        <w:t xml:space="preserve"> </w:t>
      </w:r>
      <w:r>
        <w:rPr>
          <w:b/>
          <w:bCs/>
        </w:rPr>
        <w:t xml:space="preserve">not permitted</w:t>
      </w:r>
      <w:r>
        <w:t xml:space="preserve"> </w:t>
      </w:r>
      <w:r>
        <w:t xml:space="preserve">to export, copy,</w:t>
      </w:r>
      <w:r>
        <w:t xml:space="preserve"> </w:t>
      </w:r>
      <w:r>
        <w:t xml:space="preserve">delete, or modify audit logs. Audit log access for Help Desk purposes is read-only</w:t>
      </w:r>
      <w:r>
        <w:t xml:space="preserve"> </w:t>
      </w:r>
      <w:r>
        <w:t xml:space="preserve">and limited to diagnostic triage within active ServiceNow tickets. Any request to</w:t>
      </w:r>
      <w:r>
        <w:t xml:space="preserve"> </w:t>
      </w:r>
      <w:r>
        <w:t xml:space="preserve">access audit logs outside of an active ticket must be approved by the Help Desk</w:t>
      </w:r>
      <w:r>
        <w:t xml:space="preserve"> </w:t>
      </w:r>
      <w:r>
        <w:t xml:space="preserve">Supervisor and the IGO.</w:t>
      </w:r>
    </w:p>
    <w:bookmarkEnd w:id="96"/>
    <w:bookmarkStart w:id="97" w:name="non-compliance-reporting"/>
    <w:p>
      <w:pPr>
        <w:pStyle w:val="Heading3"/>
      </w:pPr>
      <w:r>
        <w:t xml:space="preserve">Non-compliance reporting</w:t>
      </w:r>
    </w:p>
    <w:p>
      <w:pPr>
        <w:pStyle w:val="FirstParagraph"/>
      </w:pPr>
      <w:r>
        <w:t xml:space="preserve">Help Desk Supervisors are responsible for reporting the following conditions to the</w:t>
      </w:r>
      <w:r>
        <w:t xml:space="preserve"> </w:t>
      </w:r>
      <w:r>
        <w:t xml:space="preserve">IGO within one business day of discovery:</w:t>
      </w:r>
    </w:p>
    <w:p>
      <w:pPr>
        <w:pStyle w:val="Compact"/>
        <w:numPr>
          <w:ilvl w:val="0"/>
          <w:numId w:val="1024"/>
        </w:numPr>
      </w:pPr>
      <w:r>
        <w:t xml:space="preserve">A PIM elevation occurred without a corresponding valid ServiceNow RITM number in</w:t>
      </w:r>
      <w:r>
        <w:t xml:space="preserve"> </w:t>
      </w:r>
      <w:r>
        <w:t xml:space="preserve">the justification.</w:t>
      </w:r>
    </w:p>
    <w:p>
      <w:pPr>
        <w:pStyle w:val="Compact"/>
        <w:numPr>
          <w:ilvl w:val="0"/>
          <w:numId w:val="1024"/>
        </w:numPr>
      </w:pPr>
      <w:r>
        <w:t xml:space="preserve">An Entra action was taken and discovered post-hoc to not have a corresponding</w:t>
      </w:r>
      <w:r>
        <w:t xml:space="preserve"> </w:t>
      </w:r>
      <w:r>
        <w:t xml:space="preserve">approved RITM.</w:t>
      </w:r>
    </w:p>
    <w:p>
      <w:pPr>
        <w:pStyle w:val="Compact"/>
        <w:numPr>
          <w:ilvl w:val="0"/>
          <w:numId w:val="1024"/>
        </w:numPr>
      </w:pPr>
      <w:r>
        <w:t xml:space="preserve">A technician attempted or succeeded in performing an action listed as NOT</w:t>
      </w:r>
      <w:r>
        <w:t xml:space="preserve"> </w:t>
      </w:r>
      <w:r>
        <w:t xml:space="preserve">authorized in the Authority boundaries section.</w:t>
      </w:r>
    </w:p>
    <w:p>
      <w:pPr>
        <w:pStyle w:val="Compact"/>
        <w:numPr>
          <w:ilvl w:val="0"/>
          <w:numId w:val="1024"/>
        </w:numPr>
      </w:pPr>
      <w:r>
        <w:t xml:space="preserve">An Admin Consent grant was executed by a Help Desk account.</w:t>
      </w:r>
    </w:p>
    <w:p>
      <w:pPr>
        <w:pStyle w:val="Compact"/>
        <w:numPr>
          <w:ilvl w:val="0"/>
          <w:numId w:val="1024"/>
        </w:numPr>
      </w:pPr>
      <w:r>
        <w:t xml:space="preserve">A technician shared, copied, or attempted to export audit log data outside of</w:t>
      </w:r>
      <w:r>
        <w:t xml:space="preserve"> </w:t>
      </w:r>
      <w:r>
        <w:t xml:space="preserve">approved systems.</w:t>
      </w:r>
    </w:p>
    <w:bookmarkEnd w:id="97"/>
    <w:bookmarkEnd w:id="98"/>
    <w:bookmarkStart w:id="103" w:name="document-control"/>
    <w:p>
      <w:pPr>
        <w:pStyle w:val="Heading2"/>
      </w:pPr>
      <w:r>
        <w:t xml:space="preserve">Document control</w:t>
      </w:r>
    </w:p>
    <w:bookmarkStart w:id="99" w:name="version-history"/>
    <w:p>
      <w:pPr>
        <w:pStyle w:val="Heading3"/>
      </w:pPr>
      <w:r>
        <w:t xml:space="preserve">Version history</w:t>
      </w:r>
    </w:p>
    <w:tbl>
      <w:tblPr>
        <w:tblStyle w:val="Table"/>
        <w:tblW w:type="pct" w:w="5000"/>
        <w:tblLayout w:type="fixed"/>
        <w:tblLook w:firstRow="1" w:lastRow="0" w:firstColumn="0" w:lastColumn="0" w:noHBand="0" w:noVBand="0" w:val="0020"/>
      </w:tblPr>
      <w:tblGrid>
        <w:gridCol w:w="1584"/>
        <w:gridCol w:w="1584"/>
        <w:gridCol w:w="1584"/>
        <w:gridCol w:w="1584"/>
        <w:gridCol w:w="1584"/>
      </w:tblGrid>
      <w:tr>
        <w:trPr>
          <w:tblHeader w:val="on"/>
        </w:trPr>
        <w:tc>
          <w:tcPr/>
          <w:p>
            <w:pPr>
              <w:pStyle w:val="Compact"/>
            </w:pPr>
            <w:r>
              <w:rPr>
                <w:b/>
                <w:bCs/>
              </w:rPr>
              <w:t xml:space="preserve">Version</w:t>
            </w:r>
          </w:p>
        </w:tc>
        <w:tc>
          <w:tcPr/>
          <w:p>
            <w:pPr>
              <w:pStyle w:val="Compact"/>
            </w:pPr>
            <w:r>
              <w:rPr>
                <w:b/>
                <w:bCs/>
              </w:rPr>
              <w:t xml:space="preserve">Date</w:t>
            </w:r>
          </w:p>
        </w:tc>
        <w:tc>
          <w:tcPr/>
          <w:p>
            <w:pPr>
              <w:pStyle w:val="Compact"/>
            </w:pPr>
            <w:r>
              <w:rPr>
                <w:b/>
                <w:bCs/>
              </w:rPr>
              <w:t xml:space="preserve">Author</w:t>
            </w:r>
          </w:p>
        </w:tc>
        <w:tc>
          <w:tcPr/>
          <w:p>
            <w:pPr>
              <w:pStyle w:val="Compact"/>
            </w:pPr>
            <w:r>
              <w:rPr>
                <w:b/>
                <w:bCs/>
              </w:rPr>
              <w:t xml:space="preserve">Reviewed by</w:t>
            </w:r>
          </w:p>
        </w:tc>
        <w:tc>
          <w:tcPr/>
          <w:p>
            <w:pPr>
              <w:pStyle w:val="Compact"/>
            </w:pPr>
            <w:r>
              <w:rPr>
                <w:b/>
                <w:bCs/>
              </w:rPr>
              <w:t xml:space="preserve">Change summary</w:t>
            </w:r>
          </w:p>
        </w:tc>
      </w:tr>
      <w:tr>
        <w:tc>
          <w:tcPr/>
          <w:p>
            <w:pPr>
              <w:pStyle w:val="Compact"/>
            </w:pPr>
            <w:r>
              <w:t xml:space="preserve">1.0</w:t>
            </w:r>
          </w:p>
        </w:tc>
        <w:tc>
          <w:tcPr/>
          <w:p>
            <w:pPr>
              <w:pStyle w:val="Compact"/>
            </w:pPr>
            <w:r>
              <w:t xml:space="preserve">June 2026</w:t>
            </w:r>
          </w:p>
        </w:tc>
        <w:tc>
          <w:tcPr/>
          <w:p>
            <w:pPr>
              <w:pStyle w:val="Compact"/>
            </w:pPr>
            <w:r>
              <w:t xml:space="preserve">Identity Governance Officer</w:t>
            </w:r>
          </w:p>
        </w:tc>
        <w:tc>
          <w:tcPr/>
          <w:p>
            <w:pPr>
              <w:pStyle w:val="Compact"/>
            </w:pPr>
            <w:r>
              <w:t xml:space="preserve">IT Security, Help Desk Supervisor, Identity Engineering Lead</w:t>
            </w:r>
          </w:p>
        </w:tc>
        <w:tc>
          <w:tcPr/>
          <w:p>
            <w:pPr>
              <w:pStyle w:val="Compact"/>
            </w:pPr>
            <w:r>
              <w:t xml:space="preserve">Initial release. Covers full Help Desk Entra ID operational scope including PAG design, SAM integration, Admin Consent triage, Enterprise Application procedures, hybrid identity operations, and OneDrive sync triage.</w:t>
            </w:r>
          </w:p>
        </w:tc>
      </w:tr>
      <w:tr>
        <w:tc>
          <w:tcPr/>
          <w:p>
            <w:pPr>
              <w:pStyle w:val="Compact"/>
            </w:pPr>
            <w:r>
              <w:t xml:space="preserve">1.1</w:t>
            </w:r>
          </w:p>
        </w:tc>
        <w:tc>
          <w:tcPr/>
          <w:p>
            <w:pPr>
              <w:pStyle w:val="Compact"/>
            </w:pPr>
            <w:r>
              <w:t xml:space="preserve">TBD</w:t>
            </w:r>
          </w:p>
        </w:tc>
        <w:tc>
          <w:tcPr/>
          <w:p>
            <w:pPr>
              <w:pStyle w:val="Compact"/>
            </w:pPr>
            <w:r>
              <w:t xml:space="preserve">—</w:t>
            </w:r>
          </w:p>
        </w:tc>
        <w:tc>
          <w:tcPr/>
          <w:p>
            <w:pPr>
              <w:pStyle w:val="Compact"/>
            </w:pPr>
            <w:r>
              <w:t xml:space="preserve">—</w:t>
            </w:r>
          </w:p>
        </w:tc>
        <w:tc>
          <w:tcPr/>
          <w:p>
            <w:pPr>
              <w:pStyle w:val="Compact"/>
            </w:pPr>
            <w:r>
              <w:t xml:space="preserve">Reserved for next review cycle updates.</w:t>
            </w:r>
          </w:p>
        </w:tc>
      </w:tr>
    </w:tbl>
    <w:bookmarkEnd w:id="99"/>
    <w:bookmarkStart w:id="100" w:name="review-cycle"/>
    <w:p>
      <w:pPr>
        <w:pStyle w:val="Heading3"/>
      </w:pPr>
      <w:r>
        <w:t xml:space="preserve">Review cycle</w:t>
      </w:r>
    </w:p>
    <w:p>
      <w:pPr>
        <w:pStyle w:val="FirstParagraph"/>
      </w:pPr>
      <w:r>
        <w:t xml:space="preserve">This document is subject to a minimum</w:t>
      </w:r>
      <w:r>
        <w:t xml:space="preserve"> </w:t>
      </w:r>
      <w:r>
        <w:rPr>
          <w:b/>
          <w:bCs/>
        </w:rPr>
        <w:t xml:space="preserve">annual review</w:t>
      </w:r>
      <w:r>
        <w:t xml:space="preserve"> </w:t>
      </w:r>
      <w:r>
        <w:t xml:space="preserve">cycle, with interim updates</w:t>
      </w:r>
      <w:r>
        <w:t xml:space="preserve"> </w:t>
      </w:r>
      <w:r>
        <w:t xml:space="preserve">issued as required when Microsoft Entra ID role definitions change, when SAM</w:t>
      </w:r>
      <w:r>
        <w:t xml:space="preserve"> </w:t>
      </w:r>
      <w:r>
        <w:t xml:space="preserve">platform upgrades affect integration behavior, when new request types are added to</w:t>
      </w:r>
      <w:r>
        <w:t xml:space="preserve"> </w:t>
      </w:r>
      <w:r>
        <w:t xml:space="preserve">the Help Desk scope, or when an audit finding or security incident requires policy</w:t>
      </w:r>
      <w:r>
        <w:t xml:space="preserve"> </w:t>
      </w:r>
      <w:r>
        <w:t xml:space="preserve">revision. Interim updates are classified as minor versions (e.g., 1.1, 1.2). Major</w:t>
      </w:r>
      <w:r>
        <w:t xml:space="preserve"> </w:t>
      </w:r>
      <w:r>
        <w:t xml:space="preserve">structural revisions increment the major version number.</w:t>
      </w:r>
    </w:p>
    <w:bookmarkEnd w:id="100"/>
    <w:bookmarkStart w:id="101" w:name="document-owner-and-approval-authority"/>
    <w:p>
      <w:pPr>
        <w:pStyle w:val="Heading3"/>
      </w:pPr>
      <w:r>
        <w:t xml:space="preserve">Document owner and approval authority</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rPr>
                <w:b/>
                <w:bCs/>
              </w:rPr>
              <w:t xml:space="preserve">Role</w:t>
            </w:r>
          </w:p>
        </w:tc>
        <w:tc>
          <w:tcPr/>
          <w:p>
            <w:pPr>
              <w:pStyle w:val="Compact"/>
            </w:pPr>
            <w:r>
              <w:rPr>
                <w:b/>
                <w:bCs/>
              </w:rPr>
              <w:t xml:space="preserve">Individual / Position</w:t>
            </w:r>
          </w:p>
        </w:tc>
        <w:tc>
          <w:tcPr/>
          <w:p>
            <w:pPr>
              <w:pStyle w:val="Compact"/>
            </w:pPr>
            <w:r>
              <w:rPr>
                <w:b/>
                <w:bCs/>
              </w:rPr>
              <w:t xml:space="preserve">Responsibility</w:t>
            </w:r>
          </w:p>
        </w:tc>
      </w:tr>
      <w:tr>
        <w:tc>
          <w:tcPr/>
          <w:p>
            <w:pPr>
              <w:pStyle w:val="Compact"/>
            </w:pPr>
            <w:r>
              <w:t xml:space="preserve">Document Owner</w:t>
            </w:r>
          </w:p>
        </w:tc>
        <w:tc>
          <w:tcPr/>
          <w:p>
            <w:pPr>
              <w:pStyle w:val="Compact"/>
            </w:pPr>
            <w:r>
              <w:t xml:space="preserve">Identity Governance Officer (IGO)</w:t>
            </w:r>
          </w:p>
        </w:tc>
        <w:tc>
          <w:tcPr/>
          <w:p>
            <w:pPr>
              <w:pStyle w:val="Compact"/>
            </w:pPr>
            <w:r>
              <w:t xml:space="preserve">Final approval authority for all versions. Directs content updates. Signs off on annual review.</w:t>
            </w:r>
          </w:p>
        </w:tc>
      </w:tr>
      <w:tr>
        <w:tc>
          <w:tcPr/>
          <w:p>
            <w:pPr>
              <w:pStyle w:val="Compact"/>
            </w:pPr>
            <w:r>
              <w:t xml:space="preserve">Technical Author</w:t>
            </w:r>
          </w:p>
        </w:tc>
        <w:tc>
          <w:tcPr/>
          <w:p>
            <w:pPr>
              <w:pStyle w:val="Compact"/>
            </w:pPr>
            <w:r>
              <w:t xml:space="preserve">Identity Engineering Lead</w:t>
            </w:r>
          </w:p>
        </w:tc>
        <w:tc>
          <w:tcPr/>
          <w:p>
            <w:pPr>
              <w:pStyle w:val="Compact"/>
            </w:pPr>
            <w:r>
              <w:t xml:space="preserve">Drafts technical procedure sections. Reviews for accuracy with each version.</w:t>
            </w:r>
          </w:p>
        </w:tc>
      </w:tr>
      <w:tr>
        <w:tc>
          <w:tcPr/>
          <w:p>
            <w:pPr>
              <w:pStyle w:val="Compact"/>
            </w:pPr>
            <w:r>
              <w:t xml:space="preserve">Operational Reviewer</w:t>
            </w:r>
          </w:p>
        </w:tc>
        <w:tc>
          <w:tcPr/>
          <w:p>
            <w:pPr>
              <w:pStyle w:val="Compact"/>
            </w:pPr>
            <w:r>
              <w:t xml:space="preserve">Help Desk Supervisor</w:t>
            </w:r>
          </w:p>
        </w:tc>
        <w:tc>
          <w:tcPr/>
          <w:p>
            <w:pPr>
              <w:pStyle w:val="Compact"/>
            </w:pPr>
            <w:r>
              <w:t xml:space="preserve">Reviews for operational feasibility and clarity. Confirms alignment with current Help Desk workflows.</w:t>
            </w:r>
          </w:p>
        </w:tc>
      </w:tr>
      <w:tr>
        <w:tc>
          <w:tcPr/>
          <w:p>
            <w:pPr>
              <w:pStyle w:val="Compact"/>
            </w:pPr>
            <w:r>
              <w:t xml:space="preserve">Security Reviewer</w:t>
            </w:r>
          </w:p>
        </w:tc>
        <w:tc>
          <w:tcPr/>
          <w:p>
            <w:pPr>
              <w:pStyle w:val="Compact"/>
            </w:pPr>
            <w:r>
              <w:t xml:space="preserve">IT Security Officer</w:t>
            </w:r>
          </w:p>
        </w:tc>
        <w:tc>
          <w:tcPr/>
          <w:p>
            <w:pPr>
              <w:pStyle w:val="Compact"/>
            </w:pPr>
            <w:r>
              <w:t xml:space="preserve">Reviews authority boundary and escalation sections for compliance with agency security policy.</w:t>
            </w:r>
          </w:p>
        </w:tc>
      </w:tr>
      <w:tr>
        <w:tc>
          <w:tcPr/>
          <w:p>
            <w:pPr>
              <w:pStyle w:val="Compact"/>
            </w:pPr>
            <w:r>
              <w:t xml:space="preserve">Distribution</w:t>
            </w:r>
          </w:p>
        </w:tc>
        <w:tc>
          <w:tcPr/>
          <w:p>
            <w:pPr>
              <w:pStyle w:val="Compact"/>
            </w:pPr>
            <w:r>
              <w:t xml:space="preserve">All Help Desk personnel, IT Leadership</w:t>
            </w:r>
          </w:p>
        </w:tc>
        <w:tc>
          <w:tcPr/>
          <w:p>
            <w:pPr>
              <w:pStyle w:val="Compact"/>
            </w:pPr>
            <w:r>
              <w:t xml:space="preserve">Required reading. Acknowledgement recorded in training system on initial distribution and at each major version.</w:t>
            </w:r>
          </w:p>
        </w:tc>
      </w:tr>
    </w:tbl>
    <w:bookmarkEnd w:id="101"/>
    <w:bookmarkStart w:id="102" w:name="related-documents"/>
    <w:p>
      <w:pPr>
        <w:pStyle w:val="Heading3"/>
      </w:pPr>
      <w:r>
        <w:t xml:space="preserve">Related documents</w:t>
      </w:r>
    </w:p>
    <w:p>
      <w:pPr>
        <w:pStyle w:val="Compact"/>
        <w:numPr>
          <w:ilvl w:val="0"/>
          <w:numId w:val="1025"/>
        </w:numPr>
      </w:pPr>
      <w:r>
        <w:rPr>
          <w:b/>
          <w:bCs/>
        </w:rPr>
        <w:t xml:space="preserve">Entra Governance Document 2 of 3:</w:t>
      </w:r>
      <w:r>
        <w:t xml:space="preserve"> </w:t>
      </w:r>
      <w:r>
        <w:t xml:space="preserve">Privileged Identity Management (PIM) Policy</w:t>
      </w:r>
      <w:r>
        <w:t xml:space="preserve"> </w:t>
      </w:r>
      <w:r>
        <w:t xml:space="preserve">and Elevation Procedures</w:t>
      </w:r>
    </w:p>
    <w:p>
      <w:pPr>
        <w:pStyle w:val="Compact"/>
        <w:numPr>
          <w:ilvl w:val="0"/>
          <w:numId w:val="1025"/>
        </w:numPr>
      </w:pPr>
      <w:r>
        <w:rPr>
          <w:b/>
          <w:bCs/>
        </w:rPr>
        <w:t xml:space="preserve">Entra Governance Document 3 of 3:</w:t>
      </w:r>
      <w:r>
        <w:t xml:space="preserve"> </w:t>
      </w:r>
      <w:r>
        <w:t xml:space="preserve">Identity Governance Officer (IGO)</w:t>
      </w:r>
      <w:r>
        <w:t xml:space="preserve"> </w:t>
      </w:r>
      <w:r>
        <w:t xml:space="preserve">Responsibilities and Admin Consent Governance</w:t>
      </w:r>
    </w:p>
    <w:p>
      <w:pPr>
        <w:pStyle w:val="Compact"/>
        <w:numPr>
          <w:ilvl w:val="0"/>
          <w:numId w:val="1025"/>
        </w:numPr>
      </w:pPr>
      <w:r>
        <w:t xml:space="preserve">SAM (SailPoint) Access Request and Certification User Guide</w:t>
      </w:r>
    </w:p>
    <w:p>
      <w:pPr>
        <w:pStyle w:val="Compact"/>
        <w:numPr>
          <w:ilvl w:val="0"/>
          <w:numId w:val="1025"/>
        </w:numPr>
      </w:pPr>
      <w:r>
        <w:t xml:space="preserve">ServiceNow ITSM Help Desk Operator Reference Guide</w:t>
      </w:r>
    </w:p>
    <w:p>
      <w:pPr>
        <w:pStyle w:val="Compact"/>
        <w:numPr>
          <w:ilvl w:val="0"/>
          <w:numId w:val="1025"/>
        </w:numPr>
      </w:pPr>
      <w:r>
        <w:t xml:space="preserve">Agency Information Security Policy — Identity and Access Management chapter</w:t>
      </w:r>
    </w:p>
    <w:p>
      <w:pPr>
        <w:pStyle w:val="Compact"/>
        <w:numPr>
          <w:ilvl w:val="0"/>
          <w:numId w:val="1025"/>
        </w:numPr>
      </w:pPr>
      <w:r>
        <w:t xml:space="preserve">Microsoft Entra ID Least Privilege Role Reference (Microsoft Learn)</w:t>
      </w:r>
    </w:p>
    <w:bookmarkEnd w:id="102"/>
    <w:bookmarkEnd w:id="103"/>
    <w:bookmarkStart w:id="108" w:name="servicenow-automation-alignment"/>
    <w:p>
      <w:pPr>
        <w:pStyle w:val="Heading2"/>
      </w:pPr>
      <w:r>
        <w:t xml:space="preserve">ServiceNow automation alignment</w:t>
      </w:r>
    </w:p>
    <w:tbl>
      <w:tblPr>
        <w:tblStyle w:val="Table"/>
        <w:tblLook w:firstRow="0" w:lastRow="0" w:firstColumn="0" w:lastColumn="0" w:noHBand="0" w:noVBand="0" w:val="0000"/>
        <w:tblBorders>
          <w:top w:val="single" w:sz="4" w:space="0" w:color="CC1914"/>
          <w:left w:val="single" w:sz="24" w:space="0" w:color="CC1914"/>
          <w:bottom w:val="single" w:sz="4" w:space="0" w:color="CC1914"/>
          <w:right w:val="single" w:sz="4" w:space="0" w:color="CC1914"/>
        </w:tblBorders>
        <w:tblCellMar>
          <w:left w:w="144" w:type="dxa"/>
          <w:right w:w="144" w:type="dxa"/>
        </w:tblCellMar>
        <w:tblLook w:firstRow="0" w:lastRow="0" w:firstColumn="0" w:lastColumn="0" w:noHBand="0" w:noVBand="0" w:val="0000"/>
      </w:tblPr>
      <w:tr>
        <w:trPr>
          <w:cantSplit/>
        </w:trPr>
        <w:tc>
          <w:tcPr>
            <w:shd w:color="auto" w:fill="f7dddc" w:val="clear"/>
            <w:tcMar>
              <w:top w:w="92" w:type="dxa"/>
              <w:bottom w:w="92" w:type="dxa"/>
            </w:tcMar>
          </w:tcPr>
          <w:p>
            <w:pPr>
              <w:pStyle w:val="FirstParagraph"/>
            </w:pPr>
            <w:pPr>
              <w:spacing w:before="0" w:after="0"/>
              <w:textAlignment w:val="center"/>
            </w:pPr>
            <w:r>
              <w:drawing>
                <wp:inline>
                  <wp:extent cx="152400" cy="152400"/>
                  <wp:effectExtent b="0" l="0" r="0" t="0"/>
                  <wp:docPr descr="" title="" id="104" name="Picture"/>
                  <a:graphic>
                    <a:graphicData uri="http://schemas.openxmlformats.org/drawingml/2006/picture">
                      <pic:pic>
                        <pic:nvPicPr>
                          <pic:cNvPr descr="/opt/quarto/share/formats/docx/important.png" id="105" name="Picture"/>
                          <pic:cNvPicPr>
                            <a:picLocks noChangeArrowheads="1" noChangeAspect="1"/>
                          </pic:cNvPicPr>
                        </pic:nvPicPr>
                        <pic:blipFill>
                          <a:blip r:embed="rId31"/>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t xml:space="preserve"> </w:t>
            </w:r>
            <w:r>
              <w:t xml:space="preserve">Integrating ServiceNow’s shipped functions — not reinventing them</w:t>
            </w:r>
          </w:p>
        </w:tc>
      </w:tr>
      <w:tr>
        <w:trPr>
          <w:cantSplit/>
        </w:trPr>
        <w:tc>
          <w:tcPr>
            <w:tcMar>
              <w:top w:w="108" w:type="dxa"/>
              <w:bottom w:w="108" w:type="dxa"/>
            </w:tcMar>
          </w:tcPr>
          <w:p>
            <w:pPr>
              <w:pStyle w:val="BodyText"/>
            </w:pPr>
            <w:pPr>
              <w:spacing w:before="16" w:after="16"/>
            </w:pPr>
            <w:r>
              <w:t xml:space="preserve">This guidance does</w:t>
            </w:r>
            <w:r>
              <w:t xml:space="preserve"> </w:t>
            </w:r>
            <w:r>
              <w:rPr>
                <w:b/>
                <w:bCs/>
              </w:rPr>
              <w:t xml:space="preserve">not</w:t>
            </w:r>
            <w:r>
              <w:t xml:space="preserve"> </w:t>
            </w:r>
            <w:r>
              <w:t xml:space="preserve">build a parallel automation engine. ServiceNow already</w:t>
            </w:r>
            <w:r>
              <w:t xml:space="preserve"> </w:t>
            </w:r>
            <w:r>
              <w:t xml:space="preserve">ships the integration: the</w:t>
            </w:r>
            <w:r>
              <w:t xml:space="preserve"> </w:t>
            </w:r>
            <w:r>
              <w:rPr>
                <w:b/>
                <w:bCs/>
              </w:rPr>
              <w:t xml:space="preserve">Microsoft Entra ID Spoke</w:t>
            </w:r>
            <w:r>
              <w:t xml:space="preserve"> </w:t>
            </w:r>
            <w:r>
              <w:t xml:space="preserve">“provides spoke actions to automate Microsoft Entra ID tasks for application management, audit logs, device management, group management, license management, organization management, password management, service principal management, user authentication, and user management”</w:t>
            </w:r>
            <w:r>
              <w:t xml:space="preserve"> </w:t>
            </w:r>
            <w:r>
              <w:t xml:space="preserve">(</w:t>
            </w:r>
            <w:hyperlink r:id="rId106">
              <w:r>
                <w:rPr>
                  <w:rStyle w:val="Hyperlink"/>
                </w:rPr>
                <w:t xml:space="preserve">ServiceNow documentation</w:t>
              </w:r>
            </w:hyperlink>
            <w:r>
              <w:t xml:space="preserve">). What this kit adds is</w:t>
            </w:r>
            <w:r>
              <w:t xml:space="preserve"> </w:t>
            </w:r>
            <w:r>
              <w:rPr>
                <w:b/>
                <w:bCs/>
              </w:rPr>
              <w:t xml:space="preserve">integration and</w:t>
            </w:r>
            <w:r>
              <w:rPr>
                <w:b/>
                <w:bCs/>
              </w:rPr>
              <w:t xml:space="preserve"> </w:t>
            </w:r>
            <w:r>
              <w:rPr>
                <w:b/>
                <w:bCs/>
              </w:rPr>
              <w:t xml:space="preserve">customization</w:t>
            </w:r>
            <w:r>
              <w:t xml:space="preserve"> </w:t>
            </w:r>
            <w:r>
              <w:t xml:space="preserve">— routing those shipped actions through the agency’s Help Desk</w:t>
            </w:r>
            <w:r>
              <w:t xml:space="preserve"> </w:t>
            </w:r>
            <w:r>
              <w:t xml:space="preserve">authority model and the ServiceNow / SAM approval pipelines, and filling only the</w:t>
            </w:r>
            <w:r>
              <w:t xml:space="preserve"> </w:t>
            </w:r>
            <w:r>
              <w:t xml:space="preserve">residual gaps the spoke does not cover (OneDrive, ImmutableID hard-match,</w:t>
            </w:r>
            <w:r>
              <w:t xml:space="preserve"> </w:t>
            </w:r>
            <w:r>
              <w:t xml:space="preserve">Conditional Access). It runs ServiceNow-first: requests enter a triage queue, are</w:t>
            </w:r>
            <w:r>
              <w:t xml:space="preserve"> </w:t>
            </w:r>
            <w:r>
              <w:t xml:space="preserve">classified by required authority, and route to the ServiceNow or SAM pipeline. See</w:t>
            </w:r>
            <w:r>
              <w:t xml:space="preserve"> </w:t>
            </w:r>
            <w:hyperlink r:id="rId107">
              <w:r>
                <w:rPr>
                  <w:rStyle w:val="Hyperlink"/>
                </w:rPr>
                <w:t xml:space="preserve">Help Desk Flow — Intake, Triage, and Routing</w:t>
              </w:r>
            </w:hyperlink>
            <w:r>
              <w:t xml:space="preserve"> </w:t>
            </w:r>
            <w:r>
              <w:t xml:space="preserve">for the full</w:t>
            </w:r>
            <w:r>
              <w:t xml:space="preserve"> </w:t>
            </w:r>
            <w:r>
              <w:t xml:space="preserve">mechanisms and the task ↔ Spoke capability crosswalk.</w:t>
            </w:r>
          </w:p>
          <w:p/>
        </w:tc>
      </w:tr>
    </w:tbl>
    <w:bookmarkEnd w:id="10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7">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2">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3">
    <w:abstractNumId w:val="991"/>
  </w:num>
  <w:num w:numId="1024">
    <w:abstractNumId w:val="991"/>
  </w:num>
  <w:num w:numId="102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pPr>
      <w:keepLines/>
    </w:pPr>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tblPr>
      <w:tblInd w:type="dxa" w:w="0"/>
      <w:tblBorders>
        <w:top w:color="0078D4" w:space="0" w:sz="12" w:val="single"/>
        <w:bottom w:color="0078D4" w:space="0" w:sz="12" w:val="single"/>
        <w:left w:val="nil"/>
        <w:right w:val="nil"/>
        <w:insideH w:color="D1D5DA" w:space="0" w:sz="4" w:val="single"/>
        <w:insideV w:val="nil"/>
      </w:tblBorders>
      <w:tblCellMar>
        <w:top w:type="dxa" w:w="80"/>
        <w:left w:type="dxa" w:w="108"/>
        <w:bottom w:type="dxa" w:w="80"/>
        <w:right w:type="dxa" w:w="108"/>
      </w:tblCellMar>
    </w:tblPr>
    <w:tblStylePr w:type="firstRow">
      <w:rPr>
        <w:b/>
      </w:rPr>
      <w:tcPr>
        <w:tcBorders>
          <w:bottom w:color="0078D4" w:space="0" w:sz="8"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SourceCode" w:type="paragraph">
    <w:name w:val="Source Code"/>
    <w:basedOn w:val="Normal"/>
    <w:link w:val="VerbatimChar"/>
    <w:pPr>
      <w:pBdr>
        <w:top w:color="D1D5DA" w:space="6" w:sz="6" w:val="single"/>
        <w:left w:color="D1D5DA" w:space="6" w:sz="6" w:val="single"/>
        <w:bottom w:color="D1D5DA" w:space="6" w:sz="6" w:val="single"/>
        <w:right w:color="D1D5DA" w:space="6" w:sz="6" w:val="single"/>
      </w:pBdr>
      <w:shd w:fill="F6F8FA" w:val="clear"/>
      <w:wordWrap w:val="off"/>
      <w:spacing w:after="0" w:before="0" w:line="240" w:lineRule="auto"/>
      <w:ind w:left="144" w:right="144"/>
      <w:contextualSpacing/>
    </w:pPr>
    <w:rPr>
      <w:rFonts w:ascii="Consolas" w:hAnsi="Consolas"/>
      <w:color w:val="24292E"/>
      <w:sz w:val="18"/>
    </w:rPr>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character" w:customStyle="1" w:styleId="KeywordTok">
    <w:name w:val="KeywordTok"/>
    <w:basedOn w:val="VerbatimChar"/>
    <w:rPr>
      <w:b/>
      <w:color w:val="003b4f"/>
      <w:shd w:val="clear" w:fill="f1f3f5"/>
    </w:rPr>
  </w:style>
  <w:style w:type="character" w:customStyle="1" w:styleId="DataTypeTok">
    <w:name w:val="DataTypeTok"/>
    <w:basedOn w:val="VerbatimChar"/>
    <w:rPr>
      <w:color w:val="ad0000"/>
      <w:shd w:val="clear" w:fill="f1f3f5"/>
    </w:rPr>
  </w:style>
  <w:style w:type="character" w:customStyle="1" w:styleId="DecValTok">
    <w:name w:val="DecValTok"/>
    <w:basedOn w:val="VerbatimChar"/>
    <w:rPr>
      <w:color w:val="ad0000"/>
      <w:shd w:val="clear" w:fill="f1f3f5"/>
    </w:rPr>
  </w:style>
  <w:style w:type="character" w:customStyle="1" w:styleId="BaseNTok">
    <w:name w:val="BaseNTok"/>
    <w:basedOn w:val="VerbatimChar"/>
    <w:rPr>
      <w:color w:val="ad0000"/>
      <w:shd w:val="clear" w:fill="f1f3f5"/>
    </w:rPr>
  </w:style>
  <w:style w:type="character" w:customStyle="1" w:styleId="FloatTok">
    <w:name w:val="FloatTok"/>
    <w:basedOn w:val="VerbatimChar"/>
    <w:rPr>
      <w:color w:val="ad0000"/>
      <w:shd w:val="clear" w:fill="f1f3f5"/>
    </w:rPr>
  </w:style>
  <w:style w:type="character" w:customStyle="1" w:styleId="ConstantTok">
    <w:name w:val="ConstantTok"/>
    <w:basedOn w:val="VerbatimChar"/>
    <w:rPr>
      <w:color w:val="8f5902"/>
      <w:shd w:val="clear" w:fill="f1f3f5"/>
    </w:rPr>
  </w:style>
  <w:style w:type="character" w:customStyle="1" w:styleId="CharTok">
    <w:name w:val="CharTok"/>
    <w:basedOn w:val="VerbatimChar"/>
    <w:rPr>
      <w:color w:val="20794d"/>
      <w:shd w:val="clear" w:fill="f1f3f5"/>
    </w:rPr>
  </w:style>
  <w:style w:type="character" w:customStyle="1" w:styleId="SpecialCharTok">
    <w:name w:val="SpecialCharTok"/>
    <w:basedOn w:val="VerbatimChar"/>
    <w:rPr>
      <w:color w:val="5e5e5e"/>
      <w:shd w:val="clear" w:fill="f1f3f5"/>
    </w:rPr>
  </w:style>
  <w:style w:type="character" w:customStyle="1" w:styleId="StringTok">
    <w:name w:val="StringTok"/>
    <w:basedOn w:val="VerbatimChar"/>
    <w:rPr>
      <w:color w:val="20794d"/>
      <w:shd w:val="clear" w:fill="f1f3f5"/>
    </w:rPr>
  </w:style>
  <w:style w:type="character" w:customStyle="1" w:styleId="VerbatimStringTok">
    <w:name w:val="VerbatimStringTok"/>
    <w:basedOn w:val="VerbatimChar"/>
    <w:rPr>
      <w:color w:val="20794d"/>
      <w:shd w:val="clear" w:fill="f1f3f5"/>
    </w:rPr>
  </w:style>
  <w:style w:type="character" w:customStyle="1" w:styleId="SpecialStringTok">
    <w:name w:val="SpecialStringTok"/>
    <w:basedOn w:val="VerbatimChar"/>
    <w:rPr>
      <w:color w:val="20794d"/>
      <w:shd w:val="clear" w:fill="f1f3f5"/>
    </w:rPr>
  </w:style>
  <w:style w:type="character" w:customStyle="1" w:styleId="ImportTok">
    <w:name w:val="ImportTok"/>
    <w:basedOn w:val="VerbatimChar"/>
    <w:rPr>
      <w:color w:val="00769e"/>
      <w:shd w:val="clear" w:fill="f1f3f5"/>
    </w:rPr>
  </w:style>
  <w:style w:type="character" w:customStyle="1" w:styleId="CommentTok">
    <w:name w:val="CommentTok"/>
    <w:basedOn w:val="VerbatimChar"/>
    <w:rPr>
      <w:color w:val="5e5e5e"/>
      <w:shd w:val="clear" w:fill="f1f3f5"/>
    </w:rPr>
  </w:style>
  <w:style w:type="character" w:customStyle="1" w:styleId="DocumentationTok">
    <w:name w:val="DocumentationTok"/>
    <w:basedOn w:val="VerbatimChar"/>
    <w:rPr>
      <w:i/>
      <w:color w:val="5e5e5e"/>
      <w:shd w:val="clear" w:fill="f1f3f5"/>
    </w:rPr>
  </w:style>
  <w:style w:type="character" w:customStyle="1" w:styleId="AnnotationTok">
    <w:name w:val="AnnotationTok"/>
    <w:basedOn w:val="VerbatimChar"/>
    <w:rPr>
      <w:color w:val="5e5e5e"/>
      <w:shd w:val="clear" w:fill="f1f3f5"/>
    </w:rPr>
  </w:style>
  <w:style w:type="character" w:customStyle="1" w:styleId="CommentVarTok">
    <w:name w:val="CommentVarTok"/>
    <w:basedOn w:val="VerbatimChar"/>
    <w:rPr>
      <w:i/>
      <w:color w:val="5e5e5e"/>
      <w:shd w:val="clear" w:fill="f1f3f5"/>
    </w:rPr>
  </w:style>
  <w:style w:type="character" w:customStyle="1" w:styleId="OtherTok">
    <w:name w:val="OtherTok"/>
    <w:basedOn w:val="VerbatimChar"/>
    <w:rPr>
      <w:color w:val="003b4f"/>
      <w:shd w:val="clear" w:fill="f1f3f5"/>
    </w:rPr>
  </w:style>
  <w:style w:type="character" w:customStyle="1" w:styleId="FunctionTok">
    <w:name w:val="FunctionTok"/>
    <w:basedOn w:val="VerbatimChar"/>
    <w:rPr>
      <w:color w:val="4758ab"/>
      <w:shd w:val="clear" w:fill="f1f3f5"/>
    </w:rPr>
  </w:style>
  <w:style w:type="character" w:customStyle="1" w:styleId="VariableTok">
    <w:name w:val="VariableTok"/>
    <w:basedOn w:val="VerbatimChar"/>
    <w:rPr>
      <w:color w:val="111111"/>
      <w:shd w:val="clear" w:fill="f1f3f5"/>
    </w:rPr>
  </w:style>
  <w:style w:type="character" w:customStyle="1" w:styleId="ControlFlowTok">
    <w:name w:val="ControlFlowTok"/>
    <w:basedOn w:val="VerbatimChar"/>
    <w:rPr>
      <w:b/>
      <w:color w:val="003b4f"/>
      <w:shd w:val="clear" w:fill="f1f3f5"/>
    </w:rPr>
  </w:style>
  <w:style w:type="character" w:customStyle="1" w:styleId="OperatorTok">
    <w:name w:val="OperatorTok"/>
    <w:basedOn w:val="VerbatimChar"/>
    <w:rPr>
      <w:color w:val="5e5e5e"/>
      <w:shd w:val="clear" w:fill="f1f3f5"/>
    </w:rPr>
  </w:style>
  <w:style w:type="character" w:customStyle="1" w:styleId="BuiltInTok">
    <w:name w:val="BuiltInTok"/>
    <w:basedOn w:val="VerbatimChar"/>
    <w:rPr>
      <w:color w:val="003b4f"/>
      <w:shd w:val="clear" w:fill="f1f3f5"/>
    </w:rPr>
  </w:style>
  <w:style w:type="character" w:customStyle="1" w:styleId="ExtensionTok">
    <w:name w:val="ExtensionTok"/>
    <w:basedOn w:val="VerbatimChar"/>
    <w:rPr>
      <w:color w:val="003b4f"/>
      <w:shd w:val="clear" w:fill="f1f3f5"/>
    </w:rPr>
  </w:style>
  <w:style w:type="character" w:customStyle="1" w:styleId="PreprocessorTok">
    <w:name w:val="PreprocessorTok"/>
    <w:basedOn w:val="VerbatimChar"/>
    <w:rPr>
      <w:color w:val="ad0000"/>
      <w:shd w:val="clear" w:fill="f1f3f5"/>
    </w:rPr>
  </w:style>
  <w:style w:type="character" w:customStyle="1" w:styleId="AttributeTok">
    <w:name w:val="AttributeTok"/>
    <w:basedOn w:val="VerbatimChar"/>
    <w:rPr>
      <w:color w:val="657422"/>
      <w:shd w:val="clear" w:fill="f1f3f5"/>
    </w:rPr>
  </w:style>
  <w:style w:type="character" w:customStyle="1" w:styleId="RegionMarkerTok">
    <w:name w:val="RegionMarkerTok"/>
    <w:basedOn w:val="VerbatimChar"/>
    <w:rPr>
      <w:color w:val="003b4f"/>
      <w:shd w:val="clear" w:fill="f1f3f5"/>
    </w:rPr>
  </w:style>
  <w:style w:type="character" w:customStyle="1" w:styleId="InformationTok">
    <w:name w:val="InformationTok"/>
    <w:basedOn w:val="VerbatimChar"/>
    <w:rPr>
      <w:color w:val="5e5e5e"/>
      <w:shd w:val="clear" w:fill="f1f3f5"/>
    </w:rPr>
  </w:style>
  <w:style w:type="character" w:customStyle="1" w:styleId="WarningTok">
    <w:name w:val="WarningTok"/>
    <w:basedOn w:val="VerbatimChar"/>
    <w:rPr>
      <w:i/>
      <w:color w:val="5e5e5e"/>
      <w:shd w:val="clear" w:fill="f1f3f5"/>
    </w:rPr>
  </w:style>
  <w:style w:type="character" w:customStyle="1" w:styleId="AlertTok">
    <w:name w:val="AlertTok"/>
    <w:basedOn w:val="VerbatimChar"/>
    <w:rPr>
      <w:color w:val="ad0000"/>
      <w:shd w:val="clear" w:fill="f1f3f5"/>
    </w:rPr>
  </w:style>
  <w:style w:type="character" w:customStyle="1" w:styleId="ErrorTok">
    <w:name w:val="ErrorTok"/>
    <w:basedOn w:val="VerbatimChar"/>
    <w:rPr>
      <w:color w:val="ad0000"/>
      <w:shd w:val="clear" w:fill="f1f3f5"/>
    </w:rPr>
  </w:style>
  <w:style w:type="character" w:customStyle="1" w:styleId="NormalTok">
    <w:name w:val="NormalTok"/>
    <w:basedOn w:val="VerbatimChar"/>
    <w:rPr>
      <w:color w:val="003b4f"/>
      <w:shd w:val="clear" w:fill="f1f3f5"/>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31" Target="media/rId31.png" /><Relationship Type="http://schemas.openxmlformats.org/officeDocument/2006/relationships/image" Id="rId9" Target="media/rId9.png" /><Relationship Type="http://schemas.openxmlformats.org/officeDocument/2006/relationships/image" Id="rId17" Target="media/rId17.png" /><Relationship Type="http://schemas.openxmlformats.org/officeDocument/2006/relationships/hyperlink" Id="rId107" Target="helpdesk-flow.md" TargetMode="External" /><Relationship Type="http://schemas.openxmlformats.org/officeDocument/2006/relationships/hyperlink" Id="rId106" Target="https://www.servicenow.com/docs/bundle/zurich-integrate-applications/page/administer/integrationhub/concept/microsoft-azure-ad-spoke.html" TargetMode="External" /></Relationships>
</file>

<file path=word/_rels/footnotes.xml.rels><?xml version="1.0" encoding="UTF-8"?><Relationships xmlns="http://schemas.openxmlformats.org/package/2006/relationships"><Relationship Type="http://schemas.openxmlformats.org/officeDocument/2006/relationships/hyperlink" Id="rId107" Target="helpdesk-flow.md" TargetMode="External" /><Relationship Type="http://schemas.openxmlformats.org/officeDocument/2006/relationships/hyperlink" Id="rId106" Target="https://www.servicenow.com/docs/bundle/zurich-integrate-applications/page/administer/integrationhub/concept/microsoft-azure-ad-spoke.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Help Desk Administrative Responsibilities Guide</dc:title>
  <dc:creator>Michael Stratton</dc:creator>
  <cp:keywords/>
  <dcterms:created xsi:type="dcterms:W3CDTF">2026-10-19T10:11:06Z</dcterms:created>
  <dcterms:modified xsi:type="dcterms:W3CDTF">2026-10-19T10:11:06Z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udience">
    <vt:lpwstr/>
  </property>
  <property fmtid="{D5CDD505-2E9C-101B-9397-08002B2CF9AE}" pid="3" name="authors">
    <vt:lpwstr/>
  </property>
  <property fmtid="{D5CDD505-2E9C-101B-9397-08002B2CF9AE}" pid="4" name="biblio-config">
    <vt:lpwstr>True</vt:lpwstr>
  </property>
  <property fmtid="{D5CDD505-2E9C-101B-9397-08002B2CF9AE}" pid="5" name="by-author">
    <vt:lpwstr/>
  </property>
  <property fmtid="{D5CDD505-2E9C-101B-9397-08002B2CF9AE}" pid="6" name="canon-source">
    <vt:lpwstr>inbox/HelpDesk/implementation/published/Help-Desk-Administrative-Responsibilities-Guide.docx</vt:lpwstr>
  </property>
  <property fmtid="{D5CDD505-2E9C-101B-9397-08002B2CF9AE}" pid="7" name="created-at">
    <vt:lpwstr>2026-06-08</vt:lpwstr>
  </property>
  <property fmtid="{D5CDD505-2E9C-101B-9397-08002B2CF9AE}" pid="8" name="date">
    <vt:lpwstr>2026-06-01</vt:lpwstr>
  </property>
  <property fmtid="{D5CDD505-2E9C-101B-9397-08002B2CF9AE}" pid="9" name="doc-type">
    <vt:lpwstr>operational-guide</vt:lpwstr>
  </property>
  <property fmtid="{D5CDD505-2E9C-101B-9397-08002B2CF9AE}" pid="10" name="header-includes">
    <vt:lpwstr/>
  </property>
  <property fmtid="{D5CDD505-2E9C-101B-9397-08002B2CF9AE}" pid="11" name="include-after">
    <vt:lpwstr/>
  </property>
  <property fmtid="{D5CDD505-2E9C-101B-9397-08002B2CF9AE}" pid="12" name="include-before">
    <vt:lpwstr/>
  </property>
  <property fmtid="{D5CDD505-2E9C-101B-9397-08002B2CF9AE}" pid="13" name="labels">
    <vt:lpwstr/>
  </property>
  <property fmtid="{D5CDD505-2E9C-101B-9397-08002B2CF9AE}" pid="14" name="lifecycle">
    <vt:lpwstr>adopted</vt:lpwstr>
  </property>
  <property fmtid="{D5CDD505-2E9C-101B-9397-08002B2CF9AE}" pid="15" name="lifecycle_review">
    <vt:lpwstr>2026-12-08</vt:lpwstr>
  </property>
  <property fmtid="{D5CDD505-2E9C-101B-9397-08002B2CF9AE}" pid="16" name="repo-path">
    <vt:lpwstr>docs/customer-documents/operational-guides/helpdesk-entra-operations/help-desk-administrative-responsibilities.qmd</vt:lpwstr>
  </property>
  <property fmtid="{D5CDD505-2E9C-101B-9397-08002B2CF9AE}" pid="17" name="status">
    <vt:lpwstr>Active</vt:lpwstr>
  </property>
  <property fmtid="{D5CDD505-2E9C-101B-9397-08002B2CF9AE}" pid="18" name="subtitle">
    <vt:lpwstr>Microsoft Entra ID identity operations reference — authority boundaries, PAG/PIM, and SAM/ServiceNow integration</vt:lpwstr>
  </property>
  <property fmtid="{D5CDD505-2E9C-101B-9397-08002B2CF9AE}" pid="19" name="tiers_adopted">
    <vt:lpwstr/>
  </property>
  <property fmtid="{D5CDD505-2E9C-101B-9397-08002B2CF9AE}" pid="20" name="toc-title">
    <vt:lpwstr>Table of contents</vt:lpwstr>
  </property>
  <property fmtid="{D5CDD505-2E9C-101B-9397-08002B2CF9AE}" pid="21" name="updated-at">
    <vt:lpwstr>2026-06-08</vt:lpwstr>
  </property>
</Properties>
</file>