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Modernization</w:t>
      </w:r>
    </w:p>
    <w:p>
      <w:pPr>
        <w:pStyle w:val="Subtitle"/>
      </w:pPr>
      <w:r>
        <w:t xml:space="preserve">Microsoft Client-Server to Hybrid-Cloud — transformation engine, target surface, program management</w:t>
      </w:r>
    </w:p>
    <w:p>
      <w:pPr>
        <w:pStyle w:val="Date"/>
      </w:pPr>
      <w:r>
        <w:t xml:space="preserve">2026-04-24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31" w:name="modernization"/>
    <w:p>
      <w:pPr>
        <w:pStyle w:val="Heading1"/>
      </w:pPr>
      <w:r>
        <w:t xml:space="preserve">Modernization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Download the full section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These guides are the operational home of</w:t>
            </w:r>
            <w:r>
              <w:t xml:space="preserve"> </w:t>
            </w:r>
            <w:r>
              <w:rPr>
                <w:b/>
                <w:bCs/>
              </w:rPr>
              <w:t xml:space="preserve">OrgMod — Organizational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Modernization</w:t>
            </w:r>
            <w:r>
              <w:t xml:space="preserve">, one of the operational expressions of the Federal Modernization Program</w:t>
            </w:r>
            <w:r>
              <w:t xml:space="preserve"> </w:t>
            </w:r>
            <w:r>
              <w:t xml:space="preserve">substrate (alongside Compliance, which proves</w:t>
            </w:r>
            <w:r>
              <w:t xml:space="preserve"> </w:t>
            </w:r>
            <w:r>
              <w:t xml:space="preserve">compliance, and OrgLink, which governs external interconnection) —</w:t>
            </w:r>
            <w:r>
              <w:t xml:space="preserve"> </w:t>
            </w:r>
            <w:r>
              <w:t xml:space="preserve">adoptable together or entirely independently. The</w:t>
            </w:r>
            <w:r>
              <w:t xml:space="preserve"> </w:t>
            </w:r>
            <w:r>
              <w:t xml:space="preserve">OrgMod hub is the pillar’s front door.</w:t>
            </w:r>
          </w:p>
          <w:p>
            <w:pPr>
              <w:pStyle w:val="BodyText"/>
            </w:pPr>
            <w:pPr>
              <w:spacing w:after="16"/>
            </w:pPr>
            <w:hyperlink r:id="rId12">
              <w:r>
                <w:rPr>
                  <w:rStyle w:val="Hyperlink"/>
                  <w:b/>
                  <w:bCs/>
                </w:rPr>
                <w:t xml:space="preserve">operational-guides-bundle.docx</w:t>
              </w:r>
            </w:hyperlink>
            <w:r>
              <w:t xml:space="preserve"> </w:t>
            </w:r>
            <w:r>
              <w:t xml:space="preserve">— every page in this section (all sub-categories) concatenated into one Word document. Regenerated on every site deploy.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One sub-section here belongs to a sibling pillar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This directory is OrgMod’s operational home, but that is a statement about</w:t>
            </w:r>
            <w:r>
              <w:t xml:space="preserve"> </w:t>
            </w:r>
            <w:r>
              <w:t xml:space="preserve">where the pages live rather than a claim on every sub-section inside it. The</w:t>
            </w:r>
            <w:r>
              <w:t xml:space="preserve"> </w:t>
            </w:r>
            <w:r>
              <w:t xml:space="preserve">dividing question is whether a page’s deliverable exists because an estate is</w:t>
            </w:r>
            <w:r>
              <w:t xml:space="preserve"> </w:t>
            </w:r>
            <w:r>
              <w:rPr>
                <w:i/>
                <w:iCs/>
              </w:rPr>
              <w:t xml:space="preserve">moving</w:t>
            </w:r>
            <w:r>
              <w:t xml:space="preserve"> </w:t>
            </w:r>
            <w:r>
              <w:t xml:space="preserve">(OrgMod) or because a change has to be</w:t>
            </w:r>
            <w:r>
              <w:t xml:space="preserve"> </w:t>
            </w:r>
            <w:r>
              <w:rPr>
                <w:i/>
                <w:iCs/>
              </w:rPr>
              <w:t xml:space="preserve">proven</w:t>
            </w:r>
            <w:r>
              <w:t xml:space="preserve"> </w:t>
            </w:r>
            <w:r>
              <w:t xml:space="preserve">(Compliance) — a</w:t>
            </w:r>
            <w:r>
              <w:t xml:space="preserve"> </w:t>
            </w:r>
            <w:r>
              <w:t xml:space="preserve">modernization runbook such as the</w:t>
            </w:r>
            <w:r>
              <w:t xml:space="preserve"> </w:t>
            </w:r>
            <w:hyperlink r:id="rId16">
              <w:r>
                <w:rPr>
                  <w:rStyle w:val="Hyperlink"/>
                </w:rPr>
                <w:t xml:space="preserve">Intune + Azure Arc governed path</w:t>
              </w:r>
            </w:hyperlink>
            <w:r>
              <w:t xml:space="preserve"> </w:t>
            </w:r>
            <w:r>
              <w:t xml:space="preserve">is still OrgMod.</w:t>
            </w:r>
          </w:p>
          <w:p>
            <w:pPr>
              <w:pStyle w:val="BodyText"/>
            </w:pPr>
            <w:r>
              <w:t xml:space="preserve">One sub-section is Compliance’s and ships in the</w:t>
            </w:r>
            <w:r>
              <w:t xml:space="preserve"> </w:t>
            </w:r>
            <w:r>
              <w:t xml:space="preserve">Compliance kit: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SIEM Telemetry Emission — the</w:t>
            </w:r>
            <w:r>
              <w:t xml:space="preserve"> </w:t>
            </w:r>
            <w:r>
              <w:rPr>
                <w:i/>
                <w:iCs/>
              </w:rPr>
              <w:t xml:space="preserve">emission</w:t>
            </w:r>
            <w:r>
              <w:t xml:space="preserve"> </w:t>
            </w:r>
            <w:r>
              <w:t xml:space="preserve">side of the evidence pipeline whose</w:t>
            </w:r>
            <w:r>
              <w:t xml:space="preserve"> </w:t>
            </w:r>
            <w:r>
              <w:rPr>
                <w:i/>
                <w:iCs/>
              </w:rPr>
              <w:t xml:space="preserve">consumption</w:t>
            </w:r>
            <w:r>
              <w:t xml:space="preserve"> </w:t>
            </w:r>
            <w:r>
              <w:t xml:space="preserve">side is</w:t>
            </w:r>
            <w:r>
              <w:t xml:space="preserve"> </w:t>
            </w:r>
            <w:hyperlink r:id="rId17">
              <w:r>
                <w:rPr>
                  <w:rStyle w:val="Hyperlink"/>
                </w:rPr>
                <w:t xml:space="preserve">Vol III Book 06</w:t>
              </w:r>
            </w:hyperlink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Every page in this tree reaches exactly one of the two kits; the section</w:t>
            </w:r>
            <w:r>
              <w:t xml:space="preserve"> </w:t>
            </w:r>
            <w:r>
              <w:t xml:space="preserve">bundle above still carries both.</w:t>
            </w:r>
          </w:p>
          <w:p/>
        </w:tc>
      </w:tr>
    </w:tbl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what transforms, what it transforms into, and the machinery that moves</w:t>
      </w:r>
      <w:r>
        <w:rPr>
          <w:b/>
          <w:bCs/>
        </w:rPr>
        <w:t xml:space="preserve"> </w:t>
      </w:r>
      <w:r>
        <w:rPr>
          <w:b/>
          <w:bCs/>
        </w:rPr>
        <w:t xml:space="preserve">data between the two.</w:t>
      </w:r>
      <w:r>
        <w:t xml:space="preserve"> </w:t>
      </w:r>
      <w:r>
        <w:t xml:space="preserve">the Federal Modernization Program modernization retires the AD-centric</w:t>
      </w:r>
      <w:r>
        <w:t xml:space="preserve"> </w:t>
      </w:r>
      <w:r>
        <w:t xml:space="preserve">Client/Server-era estate — Active Directory, GPO, DNS, DHCP, Kerberos, ADCS,</w:t>
      </w:r>
      <w:r>
        <w:t xml:space="preserve"> </w:t>
      </w:r>
      <w:r>
        <w:t xml:space="preserve">domain-joined devices — and governs its replacement in the Hybrid-Cloud</w:t>
      </w:r>
      <w:r>
        <w:t xml:space="preserve"> </w:t>
      </w:r>
      <w:r>
        <w:t xml:space="preserve">target surface of Entra ID, Intune, Azure Arc, IPAM, SASE, and Zero Trust.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Narrative entry point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New here? Start with Client-Server to Hybrid-Cloud</w:t>
            </w:r>
            <w:r>
              <w:t xml:space="preserve"> </w:t>
            </w:r>
            <w:r>
              <w:t xml:space="preserve">— the 11-chapter narrative series that walks the full transformation arc,</w:t>
            </w:r>
            <w:r>
              <w:t xml:space="preserve"> </w:t>
            </w:r>
            <w:r>
              <w:t xml:space="preserve">from AD’s hidden governance surface to the Hybrid-Cloud access plane.</w:t>
            </w:r>
          </w:p>
          <w:p/>
        </w:tc>
      </w:tr>
    </w:tbl>
    <w:bookmarkStart w:id="27" w:name="sub-categories"/>
    <w:p>
      <w:pPr>
        <w:pStyle w:val="Heading2"/>
      </w:pPr>
      <w:r>
        <w:t xml:space="preserve">Sub-categories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Section</w:t>
            </w:r>
          </w:p>
        </w:tc>
        <w:tc>
          <w:tcPr/>
          <w:p>
            <w:pPr>
              <w:pStyle w:val="Compact"/>
            </w:pPr>
            <w:r>
              <w:t xml:space="preserve">Scope</w:t>
            </w:r>
          </w:p>
        </w:tc>
        <w:tc>
          <w:tcPr/>
          <w:p>
            <w:pPr>
              <w:pStyle w:val="Compact"/>
            </w:pPr>
            <w:r>
              <w:t xml:space="preserve">Leaf count</w:t>
            </w:r>
          </w:p>
        </w:tc>
      </w:tr>
      <w:tr>
        <w:tc>
          <w:tcPr/>
          <w:p>
            <w:pPr>
              <w:pStyle w:val="Compact"/>
            </w:pPr>
            <w:hyperlink r:id="rId20">
              <w:r>
                <w:rPr>
                  <w:rStyle w:val="Hyperlink"/>
                </w:rPr>
                <w:t xml:space="preserve">A. Platform Substrate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WS2025, IIS, Gitea, Kerberos, PKI, backup, hardening — the host that runs everything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</w:tr>
      <w:tr>
        <w:tc>
          <w:tcPr/>
          <w:p>
            <w:pPr>
              <w:pStyle w:val="Compact"/>
            </w:pPr>
            <w:hyperlink r:id="rId21">
              <w:r>
                <w:rPr>
                  <w:rStyle w:val="Hyperlink"/>
                </w:rPr>
                <w:t xml:space="preserve">B. Transformation Engine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PowerShell + Python + API scripts that analyse, plan, and deliver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</w:pPr>
            <w:r>
              <w:t xml:space="preserve">C. Identity (MOD_*)</w:t>
            </w:r>
          </w:p>
        </w:tc>
        <w:tc>
          <w:tcPr/>
          <w:p>
            <w:pPr>
              <w:pStyle w:val="Compact"/>
            </w:pPr>
            <w:r>
              <w:t xml:space="preserve">Dynamic groups, AUs, delegation, migration runbook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</w:tr>
      <w:tr>
        <w:tc>
          <w:tcPr/>
          <w:p>
            <w:pPr>
              <w:pStyle w:val="Compact"/>
            </w:pPr>
            <w:hyperlink r:id="rId22">
              <w:r>
                <w:rPr>
                  <w:rStyle w:val="Hyperlink"/>
                </w:rPr>
                <w:t xml:space="preserve">D. Directory Migration (DM_*)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IPAM, DNS, DHCP, PKI, RADIUS, LDAP, sync, devices, NTP, DFS, SPN, Trusts</w:t>
            </w:r>
          </w:p>
        </w:tc>
        <w:tc>
          <w:tcPr/>
          <w:p>
            <w:pPr>
              <w:pStyle w:val="Compact"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E. Target Surface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Entra ID, Intune, Azure Arc, M365, AUs, CA, PIM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</w:tr>
      <w:tr>
        <w:tc>
          <w:tcPr/>
          <w:p>
            <w:pPr>
              <w:pStyle w:val="Compact"/>
            </w:pPr>
            <w:hyperlink r:id="rId24">
              <w:r>
                <w:rPr>
                  <w:rStyle w:val="Hyperlink"/>
                </w:rPr>
                <w:t xml:space="preserve">F. Access Plane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MFA, Zero Trust, SASE, CBA, PAM, break-glass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hyperlink r:id="rId25">
              <w:r>
                <w:rPr>
                  <w:rStyle w:val="Hyperlink"/>
                </w:rPr>
                <w:t xml:space="preserve">G. Network Transformation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SD-WAN, IPAM, DNS, DHCP, firewall, 802.1X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hyperlink r:id="rId26">
              <w:r>
                <w:rPr>
                  <w:rStyle w:val="Hyperlink"/>
                </w:rPr>
                <w:t xml:space="preserve">H. Program Management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Master Project Plan, roadmap, ADRs, ServiceNow, SAM, training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</w:tbl>
    <w:bookmarkEnd w:id="27"/>
    <w:bookmarkStart w:id="28" w:name="cross-cutting-guides"/>
    <w:p>
      <w:pPr>
        <w:pStyle w:val="Heading2"/>
      </w:pPr>
      <w:r>
        <w:t xml:space="preserve">Cross-cutting guides</w:t>
      </w:r>
    </w:p>
    <w:p>
      <w:pPr>
        <w:pStyle w:val="FirstParagraph"/>
      </w:pPr>
      <w:r>
        <w:t xml:space="preserve">Guides that span several of the sub-categories above rather than sitting</w:t>
      </w:r>
      <w:r>
        <w:t xml:space="preserve"> </w:t>
      </w:r>
      <w:r>
        <w:t xml:space="preserve">inside one of them:</w:t>
      </w:r>
    </w:p>
    <w:p>
      <w:pPr>
        <w:pStyle w:val="Compact"/>
        <w:numPr>
          <w:ilvl w:val="0"/>
          <w:numId w:val="1002"/>
        </w:numPr>
      </w:pPr>
      <w:r>
        <w:t xml:space="preserve">SIEM Telemetry Emission — configuring</w:t>
      </w:r>
      <w:r>
        <w:t xml:space="preserve"> </w:t>
      </w:r>
      <w:r>
        <w:t xml:space="preserve">Entra ID, Azure, and Microsoft 365 to emit audit events to a SIEM at the</w:t>
      </w:r>
      <w:r>
        <w:t xml:space="preserve"> </w:t>
      </w:r>
      <w:r>
        <w:t xml:space="preserve">fidelity and retention OMB M-26-14, NIST SP 800-53, CISA, and FedRAMP</w:t>
      </w:r>
      <w:r>
        <w:t xml:space="preserve"> </w:t>
      </w:r>
      <w:r>
        <w:t xml:space="preserve">require. Touches Target Surface (E), Access Plane (F), and Program</w:t>
      </w:r>
      <w:r>
        <w:t xml:space="preserve"> </w:t>
      </w:r>
      <w:r>
        <w:t xml:space="preserve">Management (H); the emission side of the evidence pipeline whose</w:t>
      </w:r>
      <w:r>
        <w:t xml:space="preserve"> </w:t>
      </w:r>
      <w:r>
        <w:t xml:space="preserve">consumption side is</w:t>
      </w:r>
      <w:r>
        <w:t xml:space="preserve"> </w:t>
      </w:r>
      <w:hyperlink r:id="rId17">
        <w:r>
          <w:rPr>
            <w:rStyle w:val="Hyperlink"/>
          </w:rPr>
          <w:t xml:space="preserve">Vol III Book 06</w:t>
        </w:r>
      </w:hyperlink>
      <w:r>
        <w:t xml:space="preserve">.</w:t>
      </w:r>
      <w:r>
        <w:t xml:space="preserve"> </w:t>
      </w:r>
      <w:r>
        <w:t xml:space="preserve">Because that is what it is, it ships in the</w:t>
      </w:r>
      <w:r>
        <w:t xml:space="preserve"> </w:t>
      </w:r>
      <w:r>
        <w:rPr>
          <w:b/>
          <w:bCs/>
        </w:rPr>
        <w:t xml:space="preserve">Compliance</w:t>
      </w:r>
      <w:r>
        <w:t xml:space="preserve"> </w:t>
      </w:r>
      <w:r>
        <w:t xml:space="preserve">kit’s</w:t>
      </w:r>
      <w:r>
        <w:t xml:space="preserve"> </w:t>
      </w:r>
      <w:r>
        <w:rPr>
          <w:rStyle w:val="VerbatimChar"/>
        </w:rPr>
        <w:t xml:space="preserve">Evidence_Emission/</w:t>
      </w:r>
      <w:r>
        <w:t xml:space="preserve"> </w:t>
      </w:r>
      <w:r>
        <w:t xml:space="preserve">folder rather than the OrgMod one — see the note above.</w:t>
      </w:r>
    </w:p>
    <w:bookmarkEnd w:id="28"/>
    <w:bookmarkStart w:id="29" w:name="flagship-narrative"/>
    <w:p>
      <w:pPr>
        <w:pStyle w:val="Heading2"/>
      </w:pPr>
      <w:r>
        <w:t xml:space="preserve">Flagship narrative</w:t>
      </w:r>
    </w:p>
    <w:p>
      <w:pPr>
        <w:pStyle w:val="Compact"/>
        <w:numPr>
          <w:ilvl w:val="0"/>
          <w:numId w:val="1003"/>
        </w:numPr>
      </w:pPr>
      <w:r>
        <w:t xml:space="preserve">Client-Server to Hybrid-Cloud — 11 chapters</w:t>
      </w:r>
      <w:r>
        <w:t xml:space="preserve"> </w:t>
      </w:r>
      <w:r>
        <w:t xml:space="preserve">covering the full modernization arc from AD forest to governed Hybrid-Cloud</w:t>
      </w:r>
      <w:r>
        <w:t xml:space="preserve"> </w:t>
      </w:r>
      <w:r>
        <w:t xml:space="preserve">target surface.</w:t>
      </w:r>
    </w:p>
    <w:bookmarkEnd w:id="29"/>
    <w:bookmarkStart w:id="30" w:name="canonical-invariants"/>
    <w:p>
      <w:pPr>
        <w:pStyle w:val="Heading2"/>
      </w:pPr>
      <w:r>
        <w:t xml:space="preserve">Canonical invariants</w:t>
      </w:r>
    </w:p>
    <w:p>
      <w:pPr>
        <w:pStyle w:val="FirstParagraph"/>
      </w:pPr>
      <w:r>
        <w:t xml:space="preserve">Every page respects: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Assessment scope (FedRAMP 20x / CR26):</w:t>
      </w:r>
      <w:r>
        <w:t xml:space="preserve"> </w:t>
      </w:r>
      <w:r>
        <w:t xml:space="preserve">scope is set by the</w:t>
      </w:r>
      <w:r>
        <w:t xml:space="preserve"> </w:t>
      </w:r>
      <w:r>
        <w:rPr>
          <w:b/>
          <w:bCs/>
        </w:rPr>
        <w:t xml:space="preserve">Minimum Assessment Scope</w:t>
      </w:r>
      <w:r>
        <w:t xml:space="preserve"> </w:t>
      </w:r>
      <w:r>
        <w:t xml:space="preserve">inclusion test — an information resource is</w:t>
      </w:r>
      <w:r>
        <w:t xml:space="preserve"> </w:t>
      </w:r>
      <w:r>
        <w:t xml:space="preserve">in scope if it handles federal information and/or likely impacts the</w:t>
      </w:r>
      <w:r>
        <w:t xml:space="preserve"> </w:t>
      </w:r>
      <w:r>
        <w:t xml:space="preserve">confidentiality, integrity, or availability of federal information — not</w:t>
      </w:r>
      <w:r>
        <w:t xml:space="preserve"> </w:t>
      </w:r>
      <w:r>
        <w:t xml:space="preserve">by a drawn network perimeter. Resources and most metadata that meet</w:t>
      </w:r>
      <w:r>
        <w:t xml:space="preserve"> </w:t>
      </w:r>
      <w:r>
        <w:t xml:space="preserve">neither prong sit outside the assessed scope. See</w:t>
      </w:r>
      <w:r>
        <w:t xml:space="preserve"> </w:t>
      </w:r>
      <w:r>
        <w:t xml:space="preserve">the program decision.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Deployment boundary:</w:t>
      </w:r>
      <w:r>
        <w:t xml:space="preserve"> </w:t>
      </w:r>
      <w:r>
        <w:t xml:space="preserve">GCC-Moderate for M365 SaaS; IaaS (Arc, Azure) per</w:t>
      </w:r>
      <w:r>
        <w:t xml:space="preserve"> </w:t>
      </w:r>
      <w:r>
        <w:t xml:space="preserve">the program decision commercial-FedRAMP exception. This is a deployment fact about</w:t>
      </w:r>
      <w:r>
        <w:t xml:space="preserve"> </w:t>
      </w:r>
      <w:r>
        <w:t xml:space="preserve">where the estate runs, distinct from the assessment scope above.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Evidence format:</w:t>
      </w:r>
      <w:r>
        <w:t xml:space="preserve"> </w:t>
      </w:r>
      <w:r>
        <w:t xml:space="preserve">machine-readable, continuously-validated</w:t>
      </w:r>
      <w:r>
        <w:t xml:space="preserve"> </w:t>
      </w:r>
      <w:r>
        <w:rPr>
          <w:b/>
          <w:bCs/>
        </w:rPr>
        <w:t xml:space="preserve">Key</w:t>
      </w:r>
      <w:r>
        <w:rPr>
          <w:b/>
          <w:bCs/>
        </w:rPr>
        <w:t xml:space="preserve"> </w:t>
      </w:r>
      <w:r>
        <w:rPr>
          <w:b/>
          <w:bCs/>
        </w:rPr>
        <w:t xml:space="preserve">Security Indicator (KSI)</w:t>
      </w:r>
      <w:r>
        <w:t xml:space="preserve"> </w:t>
      </w:r>
      <w:r>
        <w:t xml:space="preserve">payloads against the FedRAMP</w:t>
      </w:r>
      <w:r>
        <w:t xml:space="preserve"> </w:t>
      </w:r>
      <w:r>
        <w:rPr>
          <w:b/>
          <w:bCs/>
        </w:rPr>
        <w:t xml:space="preserve">Consolidated</w:t>
      </w:r>
      <w:r>
        <w:rPr>
          <w:b/>
          <w:bCs/>
        </w:rPr>
        <w:t xml:space="preserve"> </w:t>
      </w:r>
      <w:r>
        <w:rPr>
          <w:b/>
          <w:bCs/>
        </w:rPr>
        <w:t xml:space="preserve">Rules for 2026 (CR26)</w:t>
      </w:r>
      <w:r>
        <w:t xml:space="preserve"> </w:t>
      </w:r>
      <w:r>
        <w:t xml:space="preserve">catalog — 10 themes, 46 indicators — not an SSP</w:t>
      </w:r>
      <w:r>
        <w:t xml:space="preserve"> </w:t>
      </w:r>
      <w:r>
        <w:t xml:space="preserve">narrative. CR26 is mandatory for all FedRAMP stakeholders from</w:t>
      </w:r>
      <w:r>
        <w:t xml:space="preserve"> </w:t>
      </w:r>
      <w:r>
        <w:rPr>
          <w:b/>
          <w:bCs/>
        </w:rPr>
        <w:t xml:space="preserve">2027-01-01</w:t>
      </w:r>
      <w:r>
        <w:t xml:space="preserve">; no new Rev5 certifications are issued after 2027-06-11.</w:t>
      </w:r>
      <w:r>
        <w:t xml:space="preserve"> </w:t>
      </w:r>
      <w:r>
        <w:t xml:space="preserve">See the program decision.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Source of truth:</w:t>
      </w:r>
      <w:r>
        <w:t xml:space="preserve"> </w:t>
      </w:r>
      <w:r>
        <w:t xml:space="preserve">every target surface state derives from a canonical</w:t>
      </w:r>
      <w:r>
        <w:t xml:space="preserve"> </w:t>
      </w:r>
      <w:r>
        <w:t xml:space="preserve">plan stored in Gitea. The Federal Modernization Program does not mutate SSOT; it governs it.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Determinism:</w:t>
      </w:r>
      <w:r>
        <w:t xml:space="preserve"> </w:t>
      </w:r>
      <w:r>
        <w:t xml:space="preserve">the same inputs produce the same outputs. No hidden state,</w:t>
      </w:r>
      <w:r>
        <w:t xml:space="preserve"> </w:t>
      </w:r>
      <w:r>
        <w:t xml:space="preserve">no human-in-the-loop interpretation.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Provenance:</w:t>
      </w:r>
      <w:r>
        <w:t xml:space="preserve"> </w:t>
      </w:r>
      <w:r>
        <w:t xml:space="preserve">every delivered change is attributable to a Git commit + a</w:t>
      </w:r>
      <w:r>
        <w:t xml:space="preserve"> </w:t>
      </w:r>
      <w:r>
        <w:t xml:space="preserve">plan artifact + an operator or automation.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Relationship Type="http://schemas.openxmlformats.org/officeDocument/2006/relationships/hyperlink" Id="rId12" Target="../../downloads/operational-guides-bundle.docx" TargetMode="External" /><Relationship Type="http://schemas.openxmlformats.org/officeDocument/2006/relationships/hyperlink" Id="rId17" Target="../compliance/Vol_III_Book_06_SIEM_XDR_Detection.md" TargetMode="External" /><Relationship Type="http://schemas.openxmlformats.org/officeDocument/2006/relationships/hyperlink" Id="rId24" Target="access-plane/index.html" TargetMode="External" /><Relationship Type="http://schemas.openxmlformats.org/officeDocument/2006/relationships/hyperlink" Id="rId22" Target="directory-migration/index.html" TargetMode="External" /><Relationship Type="http://schemas.openxmlformats.org/officeDocument/2006/relationships/hyperlink" Id="rId16" Target="intune-arc-modernization/governed-path.html" TargetMode="External" /><Relationship Type="http://schemas.openxmlformats.org/officeDocument/2006/relationships/hyperlink" Id="rId25" Target="network-transformation/index.html" TargetMode="External" /><Relationship Type="http://schemas.openxmlformats.org/officeDocument/2006/relationships/hyperlink" Id="rId20" Target="platform-substrate/index.html" TargetMode="External" /><Relationship Type="http://schemas.openxmlformats.org/officeDocument/2006/relationships/hyperlink" Id="rId26" Target="program-management/index.html" TargetMode="External" /><Relationship Type="http://schemas.openxmlformats.org/officeDocument/2006/relationships/hyperlink" Id="rId23" Target="target-surface/index.html" TargetMode="External" /><Relationship Type="http://schemas.openxmlformats.org/officeDocument/2006/relationships/hyperlink" Id="rId21" Target="transformation-engine/index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../../downloads/operational-guides-bundle.docx" TargetMode="External" /><Relationship Type="http://schemas.openxmlformats.org/officeDocument/2006/relationships/hyperlink" Id="rId17" Target="../compliance/Vol_III_Book_06_SIEM_XDR_Detection.md" TargetMode="External" /><Relationship Type="http://schemas.openxmlformats.org/officeDocument/2006/relationships/hyperlink" Id="rId24" Target="access-plane/index.html" TargetMode="External" /><Relationship Type="http://schemas.openxmlformats.org/officeDocument/2006/relationships/hyperlink" Id="rId22" Target="directory-migration/index.html" TargetMode="External" /><Relationship Type="http://schemas.openxmlformats.org/officeDocument/2006/relationships/hyperlink" Id="rId16" Target="intune-arc-modernization/governed-path.html" TargetMode="External" /><Relationship Type="http://schemas.openxmlformats.org/officeDocument/2006/relationships/hyperlink" Id="rId25" Target="network-transformation/index.html" TargetMode="External" /><Relationship Type="http://schemas.openxmlformats.org/officeDocument/2006/relationships/hyperlink" Id="rId20" Target="platform-substrate/index.html" TargetMode="External" /><Relationship Type="http://schemas.openxmlformats.org/officeDocument/2006/relationships/hyperlink" Id="rId26" Target="program-management/index.html" TargetMode="External" /><Relationship Type="http://schemas.openxmlformats.org/officeDocument/2006/relationships/hyperlink" Id="rId23" Target="target-surface/index.html" TargetMode="External" /><Relationship Type="http://schemas.openxmlformats.org/officeDocument/2006/relationships/hyperlink" Id="rId21" Target="transformation-engine/index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Modernization</dc:title>
  <dc:creator/>
  <cp:keywords/>
  <dcterms:created xsi:type="dcterms:W3CDTF">2026-10-19T10:11:10Z</dcterms:created>
  <dcterms:modified xsi:type="dcterms:W3CDTF">2026-10-19T10:11:10Z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pirational">
    <vt:lpwstr>True</vt:lpwstr>
  </property>
  <property fmtid="{D5CDD505-2E9C-101B-9397-08002B2CF9AE}" pid="3" name="audience">
    <vt:lpwstr>CIOs · IT modernization leads · platform engineers · identity architects</vt:lpwstr>
  </property>
  <property fmtid="{D5CDD505-2E9C-101B-9397-08002B2CF9AE}" pid="4" name="biblio-config">
    <vt:lpwstr>True</vt:lpwstr>
  </property>
  <property fmtid="{D5CDD505-2E9C-101B-9397-08002B2CF9AE}" pid="5" name="canon-source">
    <vt:lpwstr>docs/planning/customer-documents-taxonomy.md §2.1</vt:lpwstr>
  </property>
  <property fmtid="{D5CDD505-2E9C-101B-9397-08002B2CF9AE}" pid="6" name="date">
    <vt:lpwstr>2026-04-24</vt:lpwstr>
  </property>
  <property fmtid="{D5CDD505-2E9C-101B-9397-08002B2CF9AE}" pid="7" name="doc-type">
    <vt:lpwstr>pillar-landing</vt:lpwstr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lifecycle">
    <vt:lpwstr>adopted</vt:lpwstr>
  </property>
  <property fmtid="{D5CDD505-2E9C-101B-9397-08002B2CF9AE}" pid="13" name="lifecycle_review">
    <vt:lpwstr>2026-11-22</vt:lpwstr>
  </property>
  <property fmtid="{D5CDD505-2E9C-101B-9397-08002B2CF9AE}" pid="14" name="pillar">
    <vt:lpwstr>modernization</vt:lpwstr>
  </property>
  <property fmtid="{D5CDD505-2E9C-101B-9397-08002B2CF9AE}" pid="15" name="subtitle">
    <vt:lpwstr>Microsoft Client-Server to Hybrid-Cloud — transformation engine, target surface, program management</vt:lpwstr>
  </property>
  <property fmtid="{D5CDD505-2E9C-101B-9397-08002B2CF9AE}" pid="16" name="tiers_adopted">
    <vt:lpwstr/>
  </property>
  <property fmtid="{D5CDD505-2E9C-101B-9397-08002B2CF9AE}" pid="17" name="toc-title">
    <vt:lpwstr>Table of contents</vt:lpwstr>
  </property>
</Properties>
</file>