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intune-azure-arc-manual-path"/>
    <w:p>
      <w:pPr>
        <w:pStyle w:val="Heading1"/>
      </w:pPr>
      <w:r>
        <w:t xml:space="preserve">Intune + Azure Arc — Manual Path</w:t>
      </w:r>
    </w:p>
    <w:p>
      <w:pPr>
        <w:pStyle w:val="FirstParagraph"/>
      </w:pPr>
      <w:r>
        <w:t xml:space="preserve">End-to-end modernization runbook without a central governance control plane.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path is for organizations executing modernization without a real-time governance control plane. Every step is self-contained and owned by the operator under local change control. The manual path is not an ungoverned path: because no control plane validates each decision in real time, the operator owns the change record, the approval, and the rollback.</w:t>
      </w:r>
    </w:p>
    <w:bookmarkEnd w:id="9"/>
    <w:bookmarkStart w:id="10" w:name="phases"/>
    <w:p>
      <w:pPr>
        <w:pStyle w:val="Heading2"/>
      </w:pPr>
      <w:r>
        <w:t xml:space="preserve">Phases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917"/>
        <w:gridCol w:w="2917"/>
        <w:gridCol w:w="20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Observe</w:t>
            </w:r>
          </w:p>
        </w:tc>
        <w:tc>
          <w:tcPr/>
          <w:p>
            <w:pPr>
              <w:pStyle w:val="Compact"/>
            </w:pPr>
            <w:r>
              <w:t xml:space="preserve">Read-only baseline (NTLM, SPNs, SQL posture, Intune state)</w:t>
            </w:r>
          </w:p>
        </w:tc>
        <w:tc>
          <w:tcPr/>
          <w:p>
            <w:pPr>
              <w:pStyle w:val="Compact"/>
            </w:pPr>
            <w:r>
              <w:t xml:space="preserve">You cannot safely restrict what you have not measured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Onboard</w:t>
            </w:r>
          </w:p>
        </w:tc>
        <w:tc>
          <w:tcPr/>
          <w:p>
            <w:pPr>
              <w:pStyle w:val="Compact"/>
            </w:pPr>
            <w:r>
              <w:t xml:space="preserve">Arc onboarding and Intune enrollment</w:t>
            </w:r>
          </w:p>
        </w:tc>
        <w:tc>
          <w:tcPr/>
          <w:p>
            <w:pPr>
              <w:pStyle w:val="Compact"/>
            </w:pPr>
            <w:r>
              <w:t xml:space="preserve">Attach the management planes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Harden</w:t>
            </w:r>
          </w:p>
        </w:tc>
        <w:tc>
          <w:tcPr/>
          <w:p>
            <w:pPr>
              <w:pStyle w:val="Compact"/>
            </w:pPr>
            <w:r>
              <w:t xml:space="preserve">Restrict legacy protocols, clean SPNs, enforce Conditional Access</w:t>
            </w:r>
          </w:p>
        </w:tc>
        <w:tc>
          <w:tcPr/>
          <w:p>
            <w:pPr>
              <w:pStyle w:val="Compact"/>
            </w:pPr>
            <w:r>
              <w:t xml:space="preserve">Reduce attack surface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Verify</w:t>
            </w:r>
          </w:p>
        </w:tc>
        <w:tc>
          <w:tcPr/>
          <w:p>
            <w:pPr>
              <w:pStyle w:val="Compact"/>
            </w:pPr>
            <w:r>
              <w:t xml:space="preserve">Confirm posture and residual risk</w:t>
            </w:r>
          </w:p>
        </w:tc>
        <w:tc>
          <w:tcPr/>
          <w:p>
            <w:pPr>
              <w:pStyle w:val="Compact"/>
            </w:pPr>
            <w:r>
              <w:t xml:space="preserve">Evidence of completion</w:t>
            </w:r>
          </w:p>
        </w:tc>
      </w:tr>
    </w:tbl>
    <w:bookmarkEnd w:id="10"/>
    <w:bookmarkStart w:id="11" w:name="operating-rules"/>
    <w:p>
      <w:pPr>
        <w:pStyle w:val="Heading2"/>
      </w:pPr>
      <w:r>
        <w:t xml:space="preserve">Operating rules</w:t>
      </w:r>
    </w:p>
    <w:p>
      <w:pPr>
        <w:pStyle w:val="Compact"/>
        <w:numPr>
          <w:ilvl w:val="0"/>
          <w:numId w:val="1001"/>
        </w:numPr>
      </w:pPr>
      <w:r>
        <w:t xml:space="preserve">Document accepted risks in a change record before starting.</w:t>
      </w:r>
    </w:p>
    <w:p>
      <w:pPr>
        <w:pStyle w:val="Compact"/>
        <w:numPr>
          <w:ilvl w:val="0"/>
          <w:numId w:val="1001"/>
        </w:numPr>
      </w:pPr>
      <w:r>
        <w:t xml:space="preserve">Treat the first run of any state-changing step as a dry run.</w:t>
      </w:r>
    </w:p>
    <w:p>
      <w:pPr>
        <w:pStyle w:val="Compact"/>
        <w:numPr>
          <w:ilvl w:val="0"/>
          <w:numId w:val="1001"/>
        </w:numPr>
      </w:pPr>
      <w:r>
        <w:t xml:space="preserve">If governance will be added later, nothing in this path prevents a retrofit.</w:t>
      </w:r>
    </w:p>
    <w:p>
      <w:pPr>
        <w:pStyle w:val="Compact"/>
        <w:numPr>
          <w:ilvl w:val="0"/>
          <w:numId w:val="1001"/>
        </w:numPr>
      </w:pPr>
      <w:r>
        <w:t xml:space="preserve">Do not re-image or re-enroll devices solely to add governance later.</w:t>
      </w:r>
    </w:p>
    <w:bookmarkEnd w:id="11"/>
    <w:bookmarkStart w:id="12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The manual path reaches the same technical end state as a governed path. The difference is ownership and evidence: the operator holds the change record instead of a control plane.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2026-10-19T10:11:11Z</dcterms:created>
  <dcterms:modified xsi:type="dcterms:W3CDTF">2026-10-19T10:11:11Z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