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intune-azure-arc-retrofit-path"/>
    <w:p>
      <w:pPr>
        <w:pStyle w:val="Heading1"/>
      </w:pPr>
      <w:r>
        <w:t xml:space="preserve">Intune + Azure Arc — Retrofit Path</w:t>
      </w:r>
    </w:p>
    <w:p>
      <w:pPr>
        <w:pStyle w:val="FirstParagraph"/>
      </w:pPr>
      <w:r>
        <w:t xml:space="preserve">Add governance to an estate already modernized under the manual path.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Servers are Arc-onboarded, endpoints are Intune-enrolled, legacy protocols are restricted, and Conditional Access is enforced. Governance is now required. The retrofit adopts the existing estate into the governed path without re-doing the Intune or Arc work.</w:t>
      </w:r>
    </w:p>
    <w:bookmarkEnd w:id="9"/>
    <w:bookmarkStart w:id="10" w:name="why-this-works"/>
    <w:p>
      <w:pPr>
        <w:pStyle w:val="Heading2"/>
      </w:pPr>
      <w:r>
        <w:t xml:space="preserve">Why this works</w:t>
      </w:r>
    </w:p>
    <w:p>
      <w:pPr>
        <w:pStyle w:val="FirstParagraph"/>
      </w:pPr>
      <w:r>
        <w:t xml:space="preserve">The manual path already produced the artifacts the control plane needs: Arc tags, enrollment state, Conditional Access policies, and audit records. The retrofit reads those artifacts, derives governance attributes from existing structure, and attaches the observation and approval loop. No re-imaging, re-onboarding, or re-enrollment is required.</w:t>
      </w:r>
    </w:p>
    <w:bookmarkEnd w:id="10"/>
    <w:bookmarkStart w:id="11" w:name="steps"/>
    <w:p>
      <w:pPr>
        <w:pStyle w:val="Heading2"/>
      </w:pPr>
      <w:r>
        <w:t xml:space="preserve">Steps</w:t>
      </w:r>
    </w:p>
    <w:p>
      <w:pPr>
        <w:pStyle w:val="Compact"/>
        <w:numPr>
          <w:ilvl w:val="0"/>
          <w:numId w:val="1001"/>
        </w:numPr>
      </w:pPr>
      <w:r>
        <w:t xml:space="preserve">Inventory what the manual path already produced (tags, enrollment status, policy assignments, audit files).</w:t>
      </w:r>
    </w:p>
    <w:p>
      <w:pPr>
        <w:pStyle w:val="Compact"/>
        <w:numPr>
          <w:ilvl w:val="0"/>
          <w:numId w:val="1001"/>
        </w:numPr>
      </w:pPr>
      <w:r>
        <w:t xml:space="preserve">Derive governance attributes from existing tags, OUs, or groups.</w:t>
      </w:r>
    </w:p>
    <w:p>
      <w:pPr>
        <w:pStyle w:val="Compact"/>
        <w:numPr>
          <w:ilvl w:val="0"/>
          <w:numId w:val="1001"/>
        </w:numPr>
      </w:pPr>
      <w:r>
        <w:t xml:space="preserve">Stamp the derived attributes onto the objects that already exist.</w:t>
      </w:r>
    </w:p>
    <w:p>
      <w:pPr>
        <w:pStyle w:val="Compact"/>
        <w:numPr>
          <w:ilvl w:val="0"/>
          <w:numId w:val="1001"/>
        </w:numPr>
      </w:pPr>
      <w:r>
        <w:t xml:space="preserve">Register the current state as the desired state.</w:t>
      </w:r>
    </w:p>
    <w:p>
      <w:pPr>
        <w:pStyle w:val="Compact"/>
        <w:numPr>
          <w:ilvl w:val="0"/>
          <w:numId w:val="1001"/>
        </w:numPr>
      </w:pPr>
      <w:r>
        <w:t xml:space="preserve">Enable continuous observation and drift detection.</w:t>
      </w:r>
    </w:p>
    <w:p>
      <w:pPr>
        <w:pStyle w:val="Compact"/>
        <w:numPr>
          <w:ilvl w:val="0"/>
          <w:numId w:val="1001"/>
        </w:numPr>
      </w:pPr>
      <w:r>
        <w:t xml:space="preserve">Route future changes through the approval process.</w:t>
      </w:r>
    </w:p>
    <w:bookmarkEnd w:id="11"/>
    <w:bookmarkStart w:id="12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Adding governance after the fact is not a migration. It is turning on the observation and approval seam that the manual path left available.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2026-10-19T10:11:11Z</dcterms:created>
  <dcterms:modified xsi:type="dcterms:W3CDTF">2026-10-19T10:11:11Z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